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4B5C" w14:textId="77777777" w:rsidR="00CF7760" w:rsidRPr="00D1592C" w:rsidRDefault="00CF7760" w:rsidP="006D4E5B">
      <w:pPr>
        <w:pStyle w:val="lfej"/>
        <w:outlineLvl w:val="0"/>
        <w:rPr>
          <w:rFonts w:ascii="Arial" w:hAnsi="Arial" w:cs="Arial"/>
          <w:b/>
          <w:i/>
        </w:rPr>
      </w:pPr>
      <w:bookmarkStart w:id="0" w:name="_GoBack"/>
      <w:bookmarkEnd w:id="0"/>
      <w:r w:rsidRPr="00D1592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431CD88" wp14:editId="25A6A0EA">
            <wp:simplePos x="0" y="0"/>
            <wp:positionH relativeFrom="column">
              <wp:posOffset>5029200</wp:posOffset>
            </wp:positionH>
            <wp:positionV relativeFrom="paragraph">
              <wp:posOffset>-121285</wp:posOffset>
            </wp:positionV>
            <wp:extent cx="71818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199" y="21000"/>
                <wp:lineTo x="21199" y="0"/>
                <wp:lineTo x="0" y="0"/>
              </wp:wrapPolygon>
            </wp:wrapThrough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92C">
        <w:rPr>
          <w:rFonts w:ascii="Arial" w:hAnsi="Arial" w:cs="Arial"/>
          <w:b/>
          <w:i/>
        </w:rPr>
        <w:t>Integrált Nappali Szociális Intézmény</w:t>
      </w:r>
      <w:r w:rsidRPr="00D1592C">
        <w:rPr>
          <w:rFonts w:ascii="Arial" w:hAnsi="Arial" w:cs="Arial"/>
          <w:b/>
          <w:i/>
        </w:rPr>
        <w:tab/>
      </w:r>
      <w:r w:rsidRPr="00D1592C">
        <w:rPr>
          <w:rFonts w:ascii="Arial" w:hAnsi="Arial" w:cs="Arial"/>
          <w:b/>
          <w:i/>
        </w:rPr>
        <w:tab/>
      </w:r>
    </w:p>
    <w:p w14:paraId="460CCB8F" w14:textId="77777777" w:rsidR="00CF7760" w:rsidRPr="00D1592C" w:rsidRDefault="00CF7760" w:rsidP="006D4E5B">
      <w:pPr>
        <w:pStyle w:val="lfej"/>
        <w:outlineLvl w:val="0"/>
        <w:rPr>
          <w:rFonts w:ascii="Arial" w:hAnsi="Arial" w:cs="Arial"/>
        </w:rPr>
      </w:pPr>
      <w:r w:rsidRPr="00D1592C">
        <w:rPr>
          <w:rFonts w:ascii="Arial" w:hAnsi="Arial" w:cs="Arial"/>
          <w:b/>
          <w:i/>
        </w:rPr>
        <w:t>7626 Pécs, Felsőbalokány u.1</w:t>
      </w:r>
      <w:r>
        <w:rPr>
          <w:rFonts w:ascii="Arial" w:hAnsi="Arial" w:cs="Arial"/>
          <w:b/>
          <w:i/>
        </w:rPr>
        <w:t>/F.</w:t>
      </w:r>
      <w:r w:rsidRPr="00D1592C">
        <w:rPr>
          <w:rFonts w:ascii="Arial" w:hAnsi="Arial" w:cs="Arial"/>
          <w:b/>
          <w:i/>
        </w:rPr>
        <w:tab/>
      </w:r>
      <w:r w:rsidRPr="00D1592C">
        <w:rPr>
          <w:rFonts w:ascii="Arial" w:hAnsi="Arial" w:cs="Arial"/>
        </w:rPr>
        <w:tab/>
      </w:r>
    </w:p>
    <w:p w14:paraId="73E9FD32" w14:textId="77777777" w:rsidR="00CF7760" w:rsidRPr="00D1592C" w:rsidRDefault="00CF7760" w:rsidP="006D4E5B">
      <w:pPr>
        <w:pStyle w:val="lfej"/>
        <w:pBdr>
          <w:bottom w:val="single" w:sz="4" w:space="1" w:color="auto"/>
        </w:pBdr>
        <w:rPr>
          <w:rFonts w:ascii="Arial" w:hAnsi="Arial" w:cs="Arial"/>
        </w:rPr>
      </w:pPr>
    </w:p>
    <w:p w14:paraId="72A3559B" w14:textId="77777777" w:rsidR="00CF7760" w:rsidRDefault="00CF7760" w:rsidP="006D4E5B">
      <w:pPr>
        <w:pStyle w:val="lfej"/>
        <w:pBdr>
          <w:bottom w:val="single" w:sz="4" w:space="1" w:color="auto"/>
        </w:pBdr>
        <w:outlineLvl w:val="0"/>
        <w:rPr>
          <w:rFonts w:ascii="Arial" w:hAnsi="Arial" w:cs="Arial"/>
        </w:rPr>
      </w:pPr>
      <w:r w:rsidRPr="00D1592C">
        <w:rPr>
          <w:rFonts w:ascii="Arial" w:hAnsi="Arial" w:cs="Arial"/>
        </w:rPr>
        <w:t xml:space="preserve">Tel: 72/534-876, Fax: 72/215-470, </w:t>
      </w:r>
      <w:proofErr w:type="gramStart"/>
      <w:r w:rsidRPr="00D1592C">
        <w:rPr>
          <w:rFonts w:ascii="Arial" w:hAnsi="Arial" w:cs="Arial"/>
        </w:rPr>
        <w:t>E-mail:info@inszi.hu</w:t>
      </w:r>
      <w:proofErr w:type="gramEnd"/>
      <w:r w:rsidRPr="00D1592C">
        <w:rPr>
          <w:rFonts w:ascii="Arial" w:hAnsi="Arial" w:cs="Arial"/>
        </w:rPr>
        <w:t>, www.inszi.hu</w:t>
      </w:r>
      <w:r w:rsidRPr="00D1592C">
        <w:rPr>
          <w:rFonts w:ascii="Arial" w:hAnsi="Arial" w:cs="Arial"/>
        </w:rPr>
        <w:tab/>
      </w:r>
    </w:p>
    <w:p w14:paraId="7F18119E" w14:textId="77777777" w:rsidR="00CF7760" w:rsidRPr="007E46B5" w:rsidRDefault="00CF7760" w:rsidP="007E46B5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46B5">
        <w:rPr>
          <w:rFonts w:ascii="Arial" w:eastAsia="Times New Roman" w:hAnsi="Arial" w:cs="Arial"/>
          <w:sz w:val="24"/>
          <w:szCs w:val="24"/>
        </w:rPr>
        <w:t>Ágazati azonosító: S0223636</w:t>
      </w:r>
    </w:p>
    <w:p w14:paraId="5968D368" w14:textId="77777777" w:rsidR="00CF7760" w:rsidRPr="00D1592C" w:rsidRDefault="00CF7760" w:rsidP="006D4E5B">
      <w:pPr>
        <w:pStyle w:val="lfej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6"/>
        <w:gridCol w:w="887"/>
        <w:gridCol w:w="3639"/>
      </w:tblGrid>
      <w:tr w:rsidR="00CF7760" w:rsidRPr="006E3B60" w14:paraId="661E4934" w14:textId="77777777" w:rsidTr="00BE5CE0">
        <w:tc>
          <w:tcPr>
            <w:tcW w:w="4608" w:type="dxa"/>
          </w:tcPr>
          <w:p w14:paraId="2583241C" w14:textId="77777777" w:rsidR="00CF7760" w:rsidRPr="006E3B60" w:rsidRDefault="00CF7760" w:rsidP="00BE5C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B60">
              <w:rPr>
                <w:rFonts w:ascii="Arial" w:hAnsi="Arial" w:cs="Arial"/>
                <w:sz w:val="24"/>
                <w:szCs w:val="24"/>
              </w:rPr>
              <w:t>Ikt</w:t>
            </w:r>
            <w:proofErr w:type="spellEnd"/>
            <w:r w:rsidRPr="006E3B6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6E3B60">
              <w:rPr>
                <w:rFonts w:ascii="Arial" w:hAnsi="Arial" w:cs="Arial"/>
                <w:sz w:val="24"/>
                <w:szCs w:val="24"/>
              </w:rPr>
              <w:t>sz.:</w:t>
            </w:r>
            <w:r w:rsidR="00EC12F2">
              <w:rPr>
                <w:rFonts w:ascii="Arial" w:hAnsi="Arial" w:cs="Arial"/>
                <w:sz w:val="24"/>
                <w:szCs w:val="24"/>
              </w:rPr>
              <w:t>K2</w:t>
            </w:r>
            <w:proofErr w:type="gramEnd"/>
            <w:r w:rsidR="00EC12F2">
              <w:rPr>
                <w:rFonts w:ascii="Arial" w:hAnsi="Arial" w:cs="Arial"/>
                <w:sz w:val="24"/>
                <w:szCs w:val="24"/>
              </w:rPr>
              <w:t>-175/2019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14:paraId="330D0C28" w14:textId="77777777" w:rsidR="00CF7760" w:rsidRPr="006E3B60" w:rsidRDefault="00CF7760" w:rsidP="00BE5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6982709" w14:textId="77777777" w:rsidR="00CF7760" w:rsidRPr="006E3B60" w:rsidRDefault="00CF7760" w:rsidP="00BE5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EB2DED" w14:textId="77777777" w:rsidR="00CF7760" w:rsidRDefault="00CF7760" w:rsidP="006E3B60">
      <w:pPr>
        <w:pStyle w:val="Stlusregi"/>
      </w:pPr>
    </w:p>
    <w:p w14:paraId="034DB55E" w14:textId="77777777" w:rsidR="00CF7760" w:rsidRPr="00EC12F2" w:rsidRDefault="00CF7760" w:rsidP="006E3B60">
      <w:pPr>
        <w:pStyle w:val="Stlusregi"/>
        <w:rPr>
          <w:i/>
        </w:rPr>
      </w:pPr>
    </w:p>
    <w:p w14:paraId="57338993" w14:textId="77777777" w:rsidR="00CF7760" w:rsidRPr="00EC12F2" w:rsidRDefault="00CF7760" w:rsidP="00CF7760">
      <w:pPr>
        <w:pStyle w:val="Stlusregi"/>
        <w:jc w:val="center"/>
        <w:rPr>
          <w:b/>
          <w:i/>
          <w:sz w:val="28"/>
          <w:szCs w:val="28"/>
        </w:rPr>
      </w:pPr>
      <w:r w:rsidRPr="00EC12F2">
        <w:rPr>
          <w:b/>
          <w:i/>
          <w:sz w:val="28"/>
          <w:szCs w:val="28"/>
        </w:rPr>
        <w:t>BESZÁMOLÓ</w:t>
      </w:r>
    </w:p>
    <w:p w14:paraId="6F31AF9B" w14:textId="77777777" w:rsidR="00CF7760" w:rsidRPr="00EC12F2" w:rsidRDefault="00CF7760" w:rsidP="00CF7760">
      <w:pPr>
        <w:pStyle w:val="Stlusregi"/>
        <w:jc w:val="center"/>
        <w:rPr>
          <w:b/>
          <w:i/>
        </w:rPr>
      </w:pPr>
    </w:p>
    <w:p w14:paraId="602AD108" w14:textId="77777777" w:rsidR="00CF7760" w:rsidRPr="00EC12F2" w:rsidRDefault="00CF7760" w:rsidP="00CF7760">
      <w:pPr>
        <w:pStyle w:val="Stlusregi"/>
        <w:jc w:val="center"/>
        <w:rPr>
          <w:b/>
          <w:i/>
        </w:rPr>
      </w:pPr>
      <w:r w:rsidRPr="00EC12F2">
        <w:rPr>
          <w:b/>
          <w:i/>
        </w:rPr>
        <w:t>az Integrált Nappali Szociális Intézmény</w:t>
      </w:r>
    </w:p>
    <w:p w14:paraId="65A20655" w14:textId="77777777" w:rsidR="00CF7760" w:rsidRPr="00EC12F2" w:rsidRDefault="00EC12F2" w:rsidP="00CF7760">
      <w:pPr>
        <w:pStyle w:val="Stlusregi"/>
        <w:jc w:val="center"/>
        <w:rPr>
          <w:b/>
          <w:i/>
        </w:rPr>
      </w:pPr>
      <w:r w:rsidRPr="00EC12F2">
        <w:rPr>
          <w:b/>
          <w:i/>
        </w:rPr>
        <w:t>2018</w:t>
      </w:r>
      <w:r w:rsidR="00CF7760" w:rsidRPr="00EC12F2">
        <w:rPr>
          <w:b/>
          <w:i/>
        </w:rPr>
        <w:t>. évi gazdálkodásáról</w:t>
      </w:r>
    </w:p>
    <w:p w14:paraId="13D9D056" w14:textId="77777777" w:rsidR="00CF7760" w:rsidRDefault="00CF7760" w:rsidP="006E3B60">
      <w:pPr>
        <w:pStyle w:val="Stlusregi"/>
      </w:pPr>
    </w:p>
    <w:p w14:paraId="261A2479" w14:textId="77777777" w:rsidR="00CF7760" w:rsidRDefault="00EC12F2" w:rsidP="00CF7760">
      <w:pPr>
        <w:pStyle w:val="Stlusregi"/>
        <w:jc w:val="both"/>
      </w:pPr>
      <w:r>
        <w:t>Intézményünk fenntartója 2018</w:t>
      </w:r>
      <w:r w:rsidR="00CF7760">
        <w:t>. évben a Pécs</w:t>
      </w:r>
      <w:r>
        <w:t>i</w:t>
      </w:r>
      <w:r w:rsidR="00CF7760">
        <w:t xml:space="preserve"> </w:t>
      </w:r>
      <w:r>
        <w:t>Többcélú Agglomerációs</w:t>
      </w:r>
      <w:r w:rsidR="00CF7760">
        <w:t xml:space="preserve"> Társulás volt. Költségvetésünk főösszege az eredeti előirányzat szerint </w:t>
      </w:r>
      <w:r w:rsidR="00771F64">
        <w:t xml:space="preserve">492.223.421 </w:t>
      </w:r>
      <w:r w:rsidR="00CF7760">
        <w:t xml:space="preserve">Ft, </w:t>
      </w:r>
      <w:r w:rsidR="00771F64">
        <w:t>a</w:t>
      </w:r>
      <w:r w:rsidR="00CF7760">
        <w:t xml:space="preserve">mely tartalmazta az intézmény </w:t>
      </w:r>
      <w:r w:rsidR="00771F64">
        <w:t>bevételeit</w:t>
      </w:r>
      <w:r w:rsidR="00CF7760">
        <w:t xml:space="preserve"> és</w:t>
      </w:r>
      <w:r w:rsidR="00771F64">
        <w:t xml:space="preserve"> kiadásait</w:t>
      </w:r>
      <w:r w:rsidR="003B11D5">
        <w:t xml:space="preserve"> (térítési díjakat, rezsiköltségeket, vásárolt élelmezést is).</w:t>
      </w:r>
    </w:p>
    <w:p w14:paraId="53F5F665" w14:textId="77777777" w:rsidR="00CF7760" w:rsidRDefault="00CF7760" w:rsidP="00CF7760">
      <w:pPr>
        <w:pStyle w:val="Stlusregi"/>
        <w:jc w:val="both"/>
      </w:pPr>
    </w:p>
    <w:p w14:paraId="1DFA62A0" w14:textId="77777777" w:rsidR="003B11D5" w:rsidRPr="00333CC7" w:rsidRDefault="00333CC7" w:rsidP="00CF7760">
      <w:pPr>
        <w:pStyle w:val="Stlusregi"/>
        <w:jc w:val="both"/>
        <w:rPr>
          <w:b/>
        </w:rPr>
      </w:pPr>
      <w:r>
        <w:rPr>
          <w:b/>
        </w:rPr>
        <w:t>Bevételek részletezése (</w:t>
      </w:r>
      <w:r w:rsidRPr="00333CC7">
        <w:rPr>
          <w:b/>
        </w:rPr>
        <w:t>Ft)</w:t>
      </w:r>
    </w:p>
    <w:p w14:paraId="29A6571D" w14:textId="77777777" w:rsidR="00333CC7" w:rsidRDefault="00333CC7" w:rsidP="00CF7760">
      <w:pPr>
        <w:pStyle w:val="Stlusregi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8"/>
        <w:gridCol w:w="1671"/>
        <w:gridCol w:w="1671"/>
        <w:gridCol w:w="1671"/>
        <w:gridCol w:w="1311"/>
      </w:tblGrid>
      <w:tr w:rsidR="00333CC7" w14:paraId="480C4600" w14:textId="77777777" w:rsidTr="00333CC7">
        <w:tc>
          <w:tcPr>
            <w:tcW w:w="1812" w:type="dxa"/>
            <w:vAlign w:val="center"/>
          </w:tcPr>
          <w:p w14:paraId="6D68B5D8" w14:textId="77777777" w:rsidR="00333CC7" w:rsidRDefault="00333CC7" w:rsidP="00333CC7">
            <w:pPr>
              <w:pStyle w:val="Stlusregi"/>
              <w:jc w:val="center"/>
            </w:pPr>
            <w:r>
              <w:t>Megnevezés</w:t>
            </w:r>
          </w:p>
        </w:tc>
        <w:tc>
          <w:tcPr>
            <w:tcW w:w="1812" w:type="dxa"/>
            <w:vAlign w:val="center"/>
          </w:tcPr>
          <w:p w14:paraId="65151627" w14:textId="77777777" w:rsidR="00333CC7" w:rsidRDefault="00333CC7" w:rsidP="00333CC7">
            <w:pPr>
              <w:pStyle w:val="Stlusregi"/>
              <w:jc w:val="center"/>
            </w:pPr>
            <w:r>
              <w:t>Eredeti előirányzat</w:t>
            </w:r>
          </w:p>
        </w:tc>
        <w:tc>
          <w:tcPr>
            <w:tcW w:w="1812" w:type="dxa"/>
            <w:vAlign w:val="center"/>
          </w:tcPr>
          <w:p w14:paraId="74FFCB94" w14:textId="77777777" w:rsidR="00333CC7" w:rsidRDefault="00333CC7" w:rsidP="00333CC7">
            <w:pPr>
              <w:pStyle w:val="Stlusregi"/>
              <w:jc w:val="center"/>
            </w:pPr>
            <w:r>
              <w:t>Módosított előirányzat</w:t>
            </w:r>
          </w:p>
        </w:tc>
        <w:tc>
          <w:tcPr>
            <w:tcW w:w="1813" w:type="dxa"/>
            <w:vAlign w:val="center"/>
          </w:tcPr>
          <w:p w14:paraId="1431DECF" w14:textId="77777777" w:rsidR="00333CC7" w:rsidRDefault="00333CC7" w:rsidP="00333CC7">
            <w:pPr>
              <w:pStyle w:val="Stlusregi"/>
              <w:jc w:val="center"/>
            </w:pPr>
            <w:r>
              <w:t>Teljesítés</w:t>
            </w:r>
          </w:p>
        </w:tc>
        <w:tc>
          <w:tcPr>
            <w:tcW w:w="1813" w:type="dxa"/>
            <w:vAlign w:val="center"/>
          </w:tcPr>
          <w:p w14:paraId="583D705B" w14:textId="77777777" w:rsidR="00333CC7" w:rsidRDefault="00333CC7" w:rsidP="00333CC7">
            <w:pPr>
              <w:pStyle w:val="Stlusregi"/>
              <w:jc w:val="center"/>
            </w:pPr>
            <w:r>
              <w:t>Telj.%</w:t>
            </w:r>
          </w:p>
        </w:tc>
      </w:tr>
      <w:tr w:rsidR="00333CC7" w14:paraId="4523BE73" w14:textId="77777777" w:rsidTr="00333CC7">
        <w:tc>
          <w:tcPr>
            <w:tcW w:w="1812" w:type="dxa"/>
          </w:tcPr>
          <w:p w14:paraId="19E639E8" w14:textId="77777777" w:rsidR="00333CC7" w:rsidRDefault="00333CC7" w:rsidP="00CF7760">
            <w:pPr>
              <w:pStyle w:val="Stlusregi"/>
              <w:jc w:val="both"/>
            </w:pPr>
            <w:r>
              <w:t>Működési bevételek</w:t>
            </w:r>
          </w:p>
        </w:tc>
        <w:tc>
          <w:tcPr>
            <w:tcW w:w="1812" w:type="dxa"/>
          </w:tcPr>
          <w:p w14:paraId="30482CD5" w14:textId="77777777" w:rsidR="00333CC7" w:rsidRDefault="000C488D" w:rsidP="00D84309">
            <w:pPr>
              <w:pStyle w:val="Stlusregi"/>
              <w:jc w:val="right"/>
            </w:pPr>
            <w:r>
              <w:t>57.355.000</w:t>
            </w:r>
          </w:p>
        </w:tc>
        <w:tc>
          <w:tcPr>
            <w:tcW w:w="1812" w:type="dxa"/>
          </w:tcPr>
          <w:p w14:paraId="5BECC005" w14:textId="77777777" w:rsidR="00333CC7" w:rsidRDefault="000C488D" w:rsidP="00D84309">
            <w:pPr>
              <w:pStyle w:val="Stlusregi"/>
              <w:jc w:val="right"/>
            </w:pPr>
            <w:r>
              <w:t>58.435.169</w:t>
            </w:r>
          </w:p>
        </w:tc>
        <w:tc>
          <w:tcPr>
            <w:tcW w:w="1813" w:type="dxa"/>
          </w:tcPr>
          <w:p w14:paraId="248F5516" w14:textId="77777777" w:rsidR="00333CC7" w:rsidRDefault="000C488D" w:rsidP="00D84309">
            <w:pPr>
              <w:pStyle w:val="Stlusregi"/>
              <w:jc w:val="right"/>
            </w:pPr>
            <w:r>
              <w:t>61.381.650</w:t>
            </w:r>
          </w:p>
        </w:tc>
        <w:tc>
          <w:tcPr>
            <w:tcW w:w="1813" w:type="dxa"/>
          </w:tcPr>
          <w:p w14:paraId="29BFFB98" w14:textId="77777777" w:rsidR="00333CC7" w:rsidRDefault="000C488D" w:rsidP="00D84309">
            <w:pPr>
              <w:pStyle w:val="Stlusregi"/>
              <w:jc w:val="right"/>
            </w:pPr>
            <w:r>
              <w:t>105</w:t>
            </w:r>
          </w:p>
        </w:tc>
      </w:tr>
      <w:tr w:rsidR="00333CC7" w14:paraId="151D256A" w14:textId="77777777" w:rsidTr="00333CC7">
        <w:tc>
          <w:tcPr>
            <w:tcW w:w="1812" w:type="dxa"/>
          </w:tcPr>
          <w:p w14:paraId="074E1F84" w14:textId="77777777" w:rsidR="00333CC7" w:rsidRDefault="00333CC7" w:rsidP="00CF7760">
            <w:pPr>
              <w:pStyle w:val="Stlusregi"/>
              <w:jc w:val="both"/>
            </w:pPr>
            <w:r>
              <w:t>Intézményfinanszírozás</w:t>
            </w:r>
          </w:p>
        </w:tc>
        <w:tc>
          <w:tcPr>
            <w:tcW w:w="1812" w:type="dxa"/>
          </w:tcPr>
          <w:p w14:paraId="5B1BC758" w14:textId="77777777" w:rsidR="00333CC7" w:rsidRDefault="000C488D" w:rsidP="00D84309">
            <w:pPr>
              <w:pStyle w:val="Stlusregi"/>
              <w:jc w:val="right"/>
            </w:pPr>
            <w:r>
              <w:t>428.868.421</w:t>
            </w:r>
          </w:p>
        </w:tc>
        <w:tc>
          <w:tcPr>
            <w:tcW w:w="1812" w:type="dxa"/>
          </w:tcPr>
          <w:p w14:paraId="53BB643E" w14:textId="77777777" w:rsidR="00333CC7" w:rsidRDefault="000C488D" w:rsidP="00D84309">
            <w:pPr>
              <w:pStyle w:val="Stlusregi"/>
              <w:jc w:val="right"/>
            </w:pPr>
            <w:r>
              <w:t>487.270.519</w:t>
            </w:r>
          </w:p>
        </w:tc>
        <w:tc>
          <w:tcPr>
            <w:tcW w:w="1813" w:type="dxa"/>
          </w:tcPr>
          <w:p w14:paraId="5701803B" w14:textId="77777777" w:rsidR="00333CC7" w:rsidRDefault="000C488D" w:rsidP="00D84309">
            <w:pPr>
              <w:pStyle w:val="Stlusregi"/>
              <w:jc w:val="right"/>
            </w:pPr>
            <w:r>
              <w:t>403.519.985</w:t>
            </w:r>
          </w:p>
        </w:tc>
        <w:tc>
          <w:tcPr>
            <w:tcW w:w="1813" w:type="dxa"/>
          </w:tcPr>
          <w:p w14:paraId="6FA12BE0" w14:textId="77777777" w:rsidR="00333CC7" w:rsidRDefault="000C488D" w:rsidP="00D84309">
            <w:pPr>
              <w:pStyle w:val="Stlusregi"/>
              <w:jc w:val="right"/>
            </w:pPr>
            <w:r>
              <w:t>83</w:t>
            </w:r>
          </w:p>
        </w:tc>
      </w:tr>
      <w:tr w:rsidR="00333CC7" w14:paraId="0DC1B581" w14:textId="77777777" w:rsidTr="00333CC7">
        <w:tc>
          <w:tcPr>
            <w:tcW w:w="1812" w:type="dxa"/>
          </w:tcPr>
          <w:p w14:paraId="1A3122DC" w14:textId="77777777" w:rsidR="00333CC7" w:rsidRDefault="00333CC7" w:rsidP="00CF7760">
            <w:pPr>
              <w:pStyle w:val="Stlusregi"/>
              <w:jc w:val="both"/>
            </w:pPr>
            <w:r>
              <w:t>NEAK-</w:t>
            </w:r>
            <w:proofErr w:type="spellStart"/>
            <w:r>
              <w:t>tól</w:t>
            </w:r>
            <w:proofErr w:type="spellEnd"/>
            <w:r>
              <w:t xml:space="preserve"> átvett pénzeszköz</w:t>
            </w:r>
          </w:p>
        </w:tc>
        <w:tc>
          <w:tcPr>
            <w:tcW w:w="1812" w:type="dxa"/>
          </w:tcPr>
          <w:p w14:paraId="6A13131B" w14:textId="77777777" w:rsidR="00333CC7" w:rsidRDefault="00333CC7" w:rsidP="00D84309">
            <w:pPr>
              <w:pStyle w:val="Stlusregi"/>
              <w:jc w:val="right"/>
            </w:pPr>
          </w:p>
        </w:tc>
        <w:tc>
          <w:tcPr>
            <w:tcW w:w="1812" w:type="dxa"/>
          </w:tcPr>
          <w:p w14:paraId="78D0F40F" w14:textId="77777777" w:rsidR="00333CC7" w:rsidRDefault="00A23F78" w:rsidP="00D84309">
            <w:pPr>
              <w:pStyle w:val="Stlusregi"/>
              <w:jc w:val="right"/>
            </w:pPr>
            <w:r>
              <w:t>13.213.800</w:t>
            </w:r>
          </w:p>
        </w:tc>
        <w:tc>
          <w:tcPr>
            <w:tcW w:w="1813" w:type="dxa"/>
          </w:tcPr>
          <w:p w14:paraId="032FC9F5" w14:textId="77777777" w:rsidR="00333CC7" w:rsidRDefault="00A23F78" w:rsidP="00D84309">
            <w:pPr>
              <w:pStyle w:val="Stlusregi"/>
              <w:jc w:val="right"/>
            </w:pPr>
            <w:r>
              <w:t>13.213.800</w:t>
            </w:r>
          </w:p>
        </w:tc>
        <w:tc>
          <w:tcPr>
            <w:tcW w:w="1813" w:type="dxa"/>
          </w:tcPr>
          <w:p w14:paraId="5B635BB2" w14:textId="77777777" w:rsidR="00333CC7" w:rsidRDefault="00A23F78" w:rsidP="00D84309">
            <w:pPr>
              <w:pStyle w:val="Stlusregi"/>
              <w:jc w:val="right"/>
            </w:pPr>
            <w:r>
              <w:t>100</w:t>
            </w:r>
          </w:p>
        </w:tc>
      </w:tr>
      <w:tr w:rsidR="00333CC7" w14:paraId="63773012" w14:textId="77777777" w:rsidTr="00333CC7">
        <w:tc>
          <w:tcPr>
            <w:tcW w:w="1812" w:type="dxa"/>
          </w:tcPr>
          <w:p w14:paraId="5B5CC751" w14:textId="77777777" w:rsidR="00333CC7" w:rsidRDefault="00333CC7" w:rsidP="00CF7760">
            <w:pPr>
              <w:pStyle w:val="Stlusregi"/>
              <w:jc w:val="both"/>
            </w:pPr>
            <w:r>
              <w:t xml:space="preserve">Baranya M. </w:t>
            </w:r>
            <w:proofErr w:type="spellStart"/>
            <w:r>
              <w:t>Korm.Hiv</w:t>
            </w:r>
            <w:proofErr w:type="spellEnd"/>
            <w:r>
              <w:t>. átvett pénzeszköz</w:t>
            </w:r>
          </w:p>
        </w:tc>
        <w:tc>
          <w:tcPr>
            <w:tcW w:w="1812" w:type="dxa"/>
          </w:tcPr>
          <w:p w14:paraId="115743C6" w14:textId="77777777" w:rsidR="00333CC7" w:rsidRDefault="00333CC7" w:rsidP="00D84309">
            <w:pPr>
              <w:pStyle w:val="Stlusregi"/>
              <w:jc w:val="right"/>
            </w:pPr>
          </w:p>
        </w:tc>
        <w:tc>
          <w:tcPr>
            <w:tcW w:w="1812" w:type="dxa"/>
          </w:tcPr>
          <w:p w14:paraId="5BCFB222" w14:textId="77777777" w:rsidR="00333CC7" w:rsidRDefault="00A23F78" w:rsidP="00D84309">
            <w:pPr>
              <w:pStyle w:val="Stlusregi"/>
              <w:jc w:val="right"/>
            </w:pPr>
            <w:r>
              <w:t>14.307.293</w:t>
            </w:r>
          </w:p>
        </w:tc>
        <w:tc>
          <w:tcPr>
            <w:tcW w:w="1813" w:type="dxa"/>
          </w:tcPr>
          <w:p w14:paraId="49F1ACD3" w14:textId="77777777" w:rsidR="00333CC7" w:rsidRDefault="00A23F78" w:rsidP="00D84309">
            <w:pPr>
              <w:pStyle w:val="Stlusregi"/>
              <w:jc w:val="right"/>
            </w:pPr>
            <w:r>
              <w:t>14.307.293</w:t>
            </w:r>
          </w:p>
        </w:tc>
        <w:tc>
          <w:tcPr>
            <w:tcW w:w="1813" w:type="dxa"/>
          </w:tcPr>
          <w:p w14:paraId="577FF8C3" w14:textId="77777777" w:rsidR="00333CC7" w:rsidRDefault="00A23F78" w:rsidP="00D84309">
            <w:pPr>
              <w:pStyle w:val="Stlusregi"/>
              <w:jc w:val="right"/>
            </w:pPr>
            <w:r>
              <w:t>100</w:t>
            </w:r>
          </w:p>
        </w:tc>
      </w:tr>
      <w:tr w:rsidR="00333CC7" w14:paraId="2AABEE90" w14:textId="77777777" w:rsidTr="00333CC7">
        <w:tc>
          <w:tcPr>
            <w:tcW w:w="1812" w:type="dxa"/>
          </w:tcPr>
          <w:p w14:paraId="6E7C1D92" w14:textId="77777777" w:rsidR="00333CC7" w:rsidRDefault="00333CC7" w:rsidP="00CF7760">
            <w:pPr>
              <w:pStyle w:val="Stlusregi"/>
              <w:jc w:val="both"/>
            </w:pPr>
            <w:r>
              <w:t>Pécs MJV Önkorm. átvett pénzeszköz</w:t>
            </w:r>
          </w:p>
        </w:tc>
        <w:tc>
          <w:tcPr>
            <w:tcW w:w="1812" w:type="dxa"/>
          </w:tcPr>
          <w:p w14:paraId="2A874D9F" w14:textId="77777777" w:rsidR="00333CC7" w:rsidRDefault="00333CC7" w:rsidP="00D84309">
            <w:pPr>
              <w:pStyle w:val="Stlusregi"/>
              <w:jc w:val="right"/>
            </w:pPr>
          </w:p>
        </w:tc>
        <w:tc>
          <w:tcPr>
            <w:tcW w:w="1812" w:type="dxa"/>
          </w:tcPr>
          <w:p w14:paraId="23B98FAD" w14:textId="77777777" w:rsidR="00333CC7" w:rsidRDefault="00A23F78" w:rsidP="00D84309">
            <w:pPr>
              <w:pStyle w:val="Stlusregi"/>
              <w:jc w:val="right"/>
            </w:pPr>
            <w:r>
              <w:t>24.232.911</w:t>
            </w:r>
          </w:p>
        </w:tc>
        <w:tc>
          <w:tcPr>
            <w:tcW w:w="1813" w:type="dxa"/>
          </w:tcPr>
          <w:p w14:paraId="20C99B31" w14:textId="77777777" w:rsidR="00333CC7" w:rsidRDefault="00A23F78" w:rsidP="00D84309">
            <w:pPr>
              <w:pStyle w:val="Stlusregi"/>
              <w:jc w:val="right"/>
            </w:pPr>
            <w:r>
              <w:t>24.232.911</w:t>
            </w:r>
          </w:p>
        </w:tc>
        <w:tc>
          <w:tcPr>
            <w:tcW w:w="1813" w:type="dxa"/>
          </w:tcPr>
          <w:p w14:paraId="71537B3E" w14:textId="77777777" w:rsidR="00333CC7" w:rsidRDefault="00A23F78" w:rsidP="00D84309">
            <w:pPr>
              <w:pStyle w:val="Stlusregi"/>
              <w:jc w:val="right"/>
            </w:pPr>
            <w:r>
              <w:t>100</w:t>
            </w:r>
          </w:p>
        </w:tc>
      </w:tr>
      <w:tr w:rsidR="00333CC7" w14:paraId="74E03A35" w14:textId="77777777" w:rsidTr="00333CC7">
        <w:tc>
          <w:tcPr>
            <w:tcW w:w="1812" w:type="dxa"/>
          </w:tcPr>
          <w:p w14:paraId="20EBD9AA" w14:textId="77777777" w:rsidR="00333CC7" w:rsidRDefault="00333CC7" w:rsidP="00CF7760">
            <w:pPr>
              <w:pStyle w:val="Stlusregi"/>
              <w:jc w:val="both"/>
            </w:pPr>
            <w:r>
              <w:t>Előző évi pénzmaradvány</w:t>
            </w:r>
          </w:p>
        </w:tc>
        <w:tc>
          <w:tcPr>
            <w:tcW w:w="1812" w:type="dxa"/>
          </w:tcPr>
          <w:p w14:paraId="130A0FF3" w14:textId="77777777" w:rsidR="00333CC7" w:rsidRDefault="00A23F78" w:rsidP="00D84309">
            <w:pPr>
              <w:pStyle w:val="Stlusregi"/>
              <w:jc w:val="right"/>
            </w:pPr>
            <w:r>
              <w:t>6.000.000</w:t>
            </w:r>
          </w:p>
        </w:tc>
        <w:tc>
          <w:tcPr>
            <w:tcW w:w="1812" w:type="dxa"/>
          </w:tcPr>
          <w:p w14:paraId="041291CE" w14:textId="77777777" w:rsidR="00333CC7" w:rsidRDefault="00A23F78" w:rsidP="00D84309">
            <w:pPr>
              <w:pStyle w:val="Stlusregi"/>
              <w:jc w:val="right"/>
            </w:pPr>
            <w:r>
              <w:t>25.465.975</w:t>
            </w:r>
          </w:p>
        </w:tc>
        <w:tc>
          <w:tcPr>
            <w:tcW w:w="1813" w:type="dxa"/>
          </w:tcPr>
          <w:p w14:paraId="57704BF9" w14:textId="77777777" w:rsidR="00333CC7" w:rsidRDefault="00A23F78" w:rsidP="00D84309">
            <w:pPr>
              <w:pStyle w:val="Stlusregi"/>
              <w:jc w:val="right"/>
            </w:pPr>
            <w:r>
              <w:t>25.465.975</w:t>
            </w:r>
          </w:p>
        </w:tc>
        <w:tc>
          <w:tcPr>
            <w:tcW w:w="1813" w:type="dxa"/>
          </w:tcPr>
          <w:p w14:paraId="0A1F7BE2" w14:textId="77777777" w:rsidR="00333CC7" w:rsidRDefault="00A23F78" w:rsidP="00D84309">
            <w:pPr>
              <w:pStyle w:val="Stlusregi"/>
              <w:jc w:val="right"/>
            </w:pPr>
            <w:r>
              <w:t>100</w:t>
            </w:r>
          </w:p>
        </w:tc>
      </w:tr>
      <w:tr w:rsidR="00333CC7" w14:paraId="6FD2A0F0" w14:textId="77777777" w:rsidTr="00333CC7">
        <w:tc>
          <w:tcPr>
            <w:tcW w:w="1812" w:type="dxa"/>
          </w:tcPr>
          <w:p w14:paraId="5925EA6E" w14:textId="77777777" w:rsidR="00333CC7" w:rsidRPr="00D84309" w:rsidRDefault="00333CC7" w:rsidP="00CF7760">
            <w:pPr>
              <w:pStyle w:val="Stlusregi"/>
              <w:jc w:val="both"/>
              <w:rPr>
                <w:b/>
              </w:rPr>
            </w:pPr>
            <w:r w:rsidRPr="00D84309">
              <w:rPr>
                <w:b/>
              </w:rPr>
              <w:t>Bevételek összesen</w:t>
            </w:r>
          </w:p>
        </w:tc>
        <w:tc>
          <w:tcPr>
            <w:tcW w:w="1812" w:type="dxa"/>
          </w:tcPr>
          <w:p w14:paraId="1E9F5C73" w14:textId="77777777" w:rsidR="00333CC7" w:rsidRPr="00D84309" w:rsidRDefault="000C488D" w:rsidP="00D84309">
            <w:pPr>
              <w:pStyle w:val="Stlusregi"/>
              <w:jc w:val="right"/>
              <w:rPr>
                <w:b/>
              </w:rPr>
            </w:pPr>
            <w:r>
              <w:rPr>
                <w:b/>
              </w:rPr>
              <w:t>492.223.421</w:t>
            </w:r>
          </w:p>
        </w:tc>
        <w:tc>
          <w:tcPr>
            <w:tcW w:w="1812" w:type="dxa"/>
          </w:tcPr>
          <w:p w14:paraId="62AA5D20" w14:textId="77777777" w:rsidR="00333CC7" w:rsidRPr="00D84309" w:rsidRDefault="000C488D" w:rsidP="00D84309">
            <w:pPr>
              <w:pStyle w:val="Stlusregi"/>
              <w:jc w:val="right"/>
              <w:rPr>
                <w:b/>
              </w:rPr>
            </w:pPr>
            <w:r>
              <w:rPr>
                <w:b/>
              </w:rPr>
              <w:t>622.925.667</w:t>
            </w:r>
          </w:p>
        </w:tc>
        <w:tc>
          <w:tcPr>
            <w:tcW w:w="1813" w:type="dxa"/>
          </w:tcPr>
          <w:p w14:paraId="3CC37B0D" w14:textId="77777777" w:rsidR="00333CC7" w:rsidRPr="00D84309" w:rsidRDefault="000C488D" w:rsidP="00D84309">
            <w:pPr>
              <w:pStyle w:val="Stlusregi"/>
              <w:jc w:val="right"/>
              <w:rPr>
                <w:b/>
              </w:rPr>
            </w:pPr>
            <w:r>
              <w:rPr>
                <w:b/>
              </w:rPr>
              <w:t>542.121.614</w:t>
            </w:r>
          </w:p>
        </w:tc>
        <w:tc>
          <w:tcPr>
            <w:tcW w:w="1813" w:type="dxa"/>
          </w:tcPr>
          <w:p w14:paraId="3254872D" w14:textId="77777777" w:rsidR="00333CC7" w:rsidRPr="00D84309" w:rsidRDefault="000C488D" w:rsidP="00D84309">
            <w:pPr>
              <w:pStyle w:val="Stlusregi"/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14:paraId="7E74FDFC" w14:textId="77777777" w:rsidR="00333CC7" w:rsidRDefault="00333CC7" w:rsidP="00CF7760">
      <w:pPr>
        <w:pStyle w:val="Stlusregi"/>
        <w:jc w:val="both"/>
      </w:pPr>
    </w:p>
    <w:p w14:paraId="6940B4D7" w14:textId="77777777" w:rsidR="007822BB" w:rsidRDefault="008B4AC3" w:rsidP="00CF7760">
      <w:pPr>
        <w:pStyle w:val="Stlusregi"/>
        <w:jc w:val="both"/>
      </w:pPr>
      <w:r>
        <w:t xml:space="preserve">A jelzőrendszeres házi </w:t>
      </w:r>
      <w:r w:rsidR="002A539E">
        <w:t xml:space="preserve">segítségnyújtás ellátására Pécsi Többcélú Agglomerációs </w:t>
      </w:r>
      <w:r>
        <w:t xml:space="preserve">Társulás kötött szerződést a Szociális és Gyermekvédelmi Főigazgatósággal. </w:t>
      </w:r>
      <w:r w:rsidR="002A539E">
        <w:t xml:space="preserve">Intézményünknél az összeget </w:t>
      </w:r>
      <w:r w:rsidR="00C8795E">
        <w:t>az intézmén</w:t>
      </w:r>
      <w:r w:rsidR="007822BB">
        <w:t>yfina</w:t>
      </w:r>
      <w:r w:rsidR="002A539E">
        <w:t xml:space="preserve">nszírozás </w:t>
      </w:r>
      <w:r w:rsidR="000C488D">
        <w:t>tartalmazza, 2018</w:t>
      </w:r>
      <w:r w:rsidR="007822BB">
        <w:t xml:space="preserve">. évre vonatkozóan </w:t>
      </w:r>
      <w:r w:rsidR="007822BB" w:rsidRPr="00A92C85">
        <w:rPr>
          <w:b/>
        </w:rPr>
        <w:t>12.</w:t>
      </w:r>
      <w:r w:rsidR="002C1B31" w:rsidRPr="00A92C85">
        <w:rPr>
          <w:b/>
        </w:rPr>
        <w:t>627.800</w:t>
      </w:r>
      <w:r w:rsidR="007822BB" w:rsidRPr="00A92C85">
        <w:rPr>
          <w:b/>
        </w:rPr>
        <w:t xml:space="preserve"> Ft</w:t>
      </w:r>
      <w:r w:rsidR="007822BB">
        <w:t xml:space="preserve"> összegben. </w:t>
      </w:r>
    </w:p>
    <w:p w14:paraId="72668587" w14:textId="77777777" w:rsidR="00F95599" w:rsidRDefault="00F95599" w:rsidP="00CF7760">
      <w:pPr>
        <w:pStyle w:val="Stlusregi"/>
        <w:jc w:val="both"/>
      </w:pPr>
    </w:p>
    <w:p w14:paraId="621D7BAF" w14:textId="77777777" w:rsidR="00F95599" w:rsidRDefault="00F95599" w:rsidP="00CF7760">
      <w:pPr>
        <w:pStyle w:val="Stlusregi"/>
        <w:jc w:val="both"/>
      </w:pPr>
      <w:r>
        <w:t xml:space="preserve">Intézményünk Apáca utcai telephelyén pályázati támogatás keretében lehetőség nyílt fejlesztő foglalkoztatás beindítására. </w:t>
      </w:r>
      <w:r w:rsidR="00A92C85">
        <w:t xml:space="preserve">A feladatra </w:t>
      </w:r>
      <w:r>
        <w:t xml:space="preserve">Pécs MJV Önkormányzata </w:t>
      </w:r>
      <w:r w:rsidR="00A92C85">
        <w:t>kötött szerződést a Szociális és Gyermekvédelmi Főigazgatósággal 2018-2020. évekre von</w:t>
      </w:r>
      <w:r w:rsidR="00DD4471">
        <w:t>atkozóan. 2018. évre</w:t>
      </w:r>
      <w:r w:rsidR="00A92C85">
        <w:t xml:space="preserve"> </w:t>
      </w:r>
      <w:r w:rsidR="00A92C85" w:rsidRPr="00A92C85">
        <w:rPr>
          <w:b/>
        </w:rPr>
        <w:t>4.230.642 Ft</w:t>
      </w:r>
      <w:r w:rsidR="00A92C85">
        <w:t xml:space="preserve"> támogatási összeg érkezett intézményünk bankszámlájára (a fenti táblázatban az intézményfinanszírozás sorban szerepel.)</w:t>
      </w:r>
      <w:r w:rsidR="00320256">
        <w:t xml:space="preserve"> További 294.190 Ft-os összeg rendezése folyamatban van, (a decemberi </w:t>
      </w:r>
      <w:r w:rsidR="004E42EA">
        <w:t>szerződés-</w:t>
      </w:r>
      <w:r w:rsidR="00320256">
        <w:t>módosítás miatt) a Pécsi Többcélú Agglomerációs Társulástól 2019-ben kapjuk meg.</w:t>
      </w:r>
    </w:p>
    <w:p w14:paraId="201EDB4B" w14:textId="77777777" w:rsidR="007822BB" w:rsidRDefault="007822BB">
      <w:pPr>
        <w:rPr>
          <w:rFonts w:ascii="Arial" w:hAnsi="Arial"/>
          <w:sz w:val="24"/>
        </w:rPr>
      </w:pPr>
      <w:r>
        <w:br w:type="page"/>
      </w:r>
    </w:p>
    <w:p w14:paraId="5ACF833E" w14:textId="77777777" w:rsidR="007822BB" w:rsidRDefault="007822BB" w:rsidP="00CF7760">
      <w:pPr>
        <w:pStyle w:val="Stlusregi"/>
        <w:jc w:val="both"/>
      </w:pPr>
    </w:p>
    <w:p w14:paraId="65EAC7CC" w14:textId="77777777" w:rsidR="007822BB" w:rsidRPr="007822BB" w:rsidRDefault="007822BB" w:rsidP="00CF7760">
      <w:pPr>
        <w:pStyle w:val="Stlusregi"/>
        <w:jc w:val="both"/>
        <w:rPr>
          <w:b/>
        </w:rPr>
      </w:pPr>
      <w:r w:rsidRPr="007822BB">
        <w:rPr>
          <w:b/>
        </w:rPr>
        <w:t>Kiadások részletezése (Ft)</w:t>
      </w:r>
    </w:p>
    <w:p w14:paraId="7AFFDAFC" w14:textId="77777777" w:rsidR="007822BB" w:rsidRDefault="007822BB" w:rsidP="00CF7760">
      <w:pPr>
        <w:pStyle w:val="Stlusregi"/>
        <w:jc w:val="both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842"/>
        <w:gridCol w:w="1701"/>
        <w:gridCol w:w="1129"/>
      </w:tblGrid>
      <w:tr w:rsidR="007822BB" w14:paraId="6C4E37A3" w14:textId="77777777" w:rsidTr="007822BB">
        <w:tc>
          <w:tcPr>
            <w:tcW w:w="2689" w:type="dxa"/>
            <w:vAlign w:val="center"/>
          </w:tcPr>
          <w:p w14:paraId="4480FBBE" w14:textId="77777777" w:rsidR="007822BB" w:rsidRDefault="007822BB" w:rsidP="00D93765">
            <w:pPr>
              <w:pStyle w:val="Stlusregi"/>
              <w:jc w:val="center"/>
            </w:pPr>
            <w:r>
              <w:t>Megnevezés</w:t>
            </w:r>
          </w:p>
        </w:tc>
        <w:tc>
          <w:tcPr>
            <w:tcW w:w="1701" w:type="dxa"/>
            <w:vAlign w:val="center"/>
          </w:tcPr>
          <w:p w14:paraId="23468E27" w14:textId="77777777" w:rsidR="007822BB" w:rsidRDefault="007822BB" w:rsidP="00D93765">
            <w:pPr>
              <w:pStyle w:val="Stlusregi"/>
              <w:jc w:val="center"/>
            </w:pPr>
            <w:r>
              <w:t>Eredeti előirányzat</w:t>
            </w:r>
          </w:p>
        </w:tc>
        <w:tc>
          <w:tcPr>
            <w:tcW w:w="1842" w:type="dxa"/>
            <w:vAlign w:val="center"/>
          </w:tcPr>
          <w:p w14:paraId="64C837BF" w14:textId="77777777" w:rsidR="007822BB" w:rsidRDefault="007822BB" w:rsidP="00D93765">
            <w:pPr>
              <w:pStyle w:val="Stlusregi"/>
              <w:jc w:val="center"/>
            </w:pPr>
            <w:r>
              <w:t>Módosított előirányzat</w:t>
            </w:r>
          </w:p>
        </w:tc>
        <w:tc>
          <w:tcPr>
            <w:tcW w:w="1701" w:type="dxa"/>
            <w:vAlign w:val="center"/>
          </w:tcPr>
          <w:p w14:paraId="700F8276" w14:textId="77777777" w:rsidR="007822BB" w:rsidRDefault="007822BB" w:rsidP="00D93765">
            <w:pPr>
              <w:pStyle w:val="Stlusregi"/>
              <w:jc w:val="center"/>
            </w:pPr>
            <w:r>
              <w:t>Teljesítés</w:t>
            </w:r>
          </w:p>
        </w:tc>
        <w:tc>
          <w:tcPr>
            <w:tcW w:w="1129" w:type="dxa"/>
            <w:vAlign w:val="center"/>
          </w:tcPr>
          <w:p w14:paraId="1E0CCE2C" w14:textId="77777777" w:rsidR="007822BB" w:rsidRDefault="007822BB" w:rsidP="00D93765">
            <w:pPr>
              <w:pStyle w:val="Stlusregi"/>
              <w:jc w:val="center"/>
            </w:pPr>
            <w:r>
              <w:t>Telj.%</w:t>
            </w:r>
          </w:p>
        </w:tc>
      </w:tr>
      <w:tr w:rsidR="007822BB" w14:paraId="0232093B" w14:textId="77777777" w:rsidTr="007822BB">
        <w:tc>
          <w:tcPr>
            <w:tcW w:w="2689" w:type="dxa"/>
          </w:tcPr>
          <w:p w14:paraId="0FB95743" w14:textId="77777777" w:rsidR="007822BB" w:rsidRDefault="007822BB" w:rsidP="00D93765">
            <w:pPr>
              <w:pStyle w:val="Stlusregi"/>
              <w:jc w:val="both"/>
            </w:pPr>
            <w:r>
              <w:t>Személyi juttatások</w:t>
            </w:r>
          </w:p>
        </w:tc>
        <w:tc>
          <w:tcPr>
            <w:tcW w:w="1701" w:type="dxa"/>
          </w:tcPr>
          <w:p w14:paraId="5455604F" w14:textId="77777777" w:rsidR="007822BB" w:rsidRDefault="000C488D" w:rsidP="00D93765">
            <w:pPr>
              <w:pStyle w:val="Stlusregi"/>
              <w:jc w:val="right"/>
            </w:pPr>
            <w:r>
              <w:t>288.727.399</w:t>
            </w:r>
          </w:p>
        </w:tc>
        <w:tc>
          <w:tcPr>
            <w:tcW w:w="1842" w:type="dxa"/>
          </w:tcPr>
          <w:p w14:paraId="6A5C8EAA" w14:textId="77777777" w:rsidR="007822BB" w:rsidRDefault="000C488D" w:rsidP="00D93765">
            <w:pPr>
              <w:pStyle w:val="Stlusregi"/>
              <w:jc w:val="right"/>
            </w:pPr>
            <w:r>
              <w:t>361.779.024</w:t>
            </w:r>
          </w:p>
        </w:tc>
        <w:tc>
          <w:tcPr>
            <w:tcW w:w="1701" w:type="dxa"/>
          </w:tcPr>
          <w:p w14:paraId="7BD9F309" w14:textId="77777777" w:rsidR="007822BB" w:rsidRDefault="000C488D" w:rsidP="00D93765">
            <w:pPr>
              <w:pStyle w:val="Stlusregi"/>
              <w:jc w:val="right"/>
            </w:pPr>
            <w:r>
              <w:t>342.789.566</w:t>
            </w:r>
          </w:p>
        </w:tc>
        <w:tc>
          <w:tcPr>
            <w:tcW w:w="1129" w:type="dxa"/>
          </w:tcPr>
          <w:p w14:paraId="734D93F5" w14:textId="77777777" w:rsidR="007822BB" w:rsidRDefault="000C488D" w:rsidP="00D93765">
            <w:pPr>
              <w:pStyle w:val="Stlusregi"/>
              <w:jc w:val="right"/>
            </w:pPr>
            <w:r>
              <w:t>95</w:t>
            </w:r>
          </w:p>
        </w:tc>
      </w:tr>
      <w:tr w:rsidR="007822BB" w14:paraId="27045155" w14:textId="77777777" w:rsidTr="007822BB">
        <w:tc>
          <w:tcPr>
            <w:tcW w:w="2689" w:type="dxa"/>
          </w:tcPr>
          <w:p w14:paraId="5498CD36" w14:textId="77777777" w:rsidR="007822BB" w:rsidRPr="007822BB" w:rsidRDefault="007822BB" w:rsidP="00D93765">
            <w:pPr>
              <w:pStyle w:val="Stlusregi"/>
              <w:jc w:val="both"/>
              <w:rPr>
                <w:sz w:val="22"/>
                <w:szCs w:val="22"/>
              </w:rPr>
            </w:pPr>
            <w:r w:rsidRPr="007822BB">
              <w:rPr>
                <w:sz w:val="22"/>
                <w:szCs w:val="22"/>
              </w:rPr>
              <w:t>Munkaadókat terhelő jár.</w:t>
            </w:r>
          </w:p>
        </w:tc>
        <w:tc>
          <w:tcPr>
            <w:tcW w:w="1701" w:type="dxa"/>
          </w:tcPr>
          <w:p w14:paraId="050573FA" w14:textId="77777777" w:rsidR="007822BB" w:rsidRDefault="000C488D" w:rsidP="00D93765">
            <w:pPr>
              <w:pStyle w:val="Stlusregi"/>
              <w:jc w:val="right"/>
            </w:pPr>
            <w:r>
              <w:t>59.151.435</w:t>
            </w:r>
          </w:p>
        </w:tc>
        <w:tc>
          <w:tcPr>
            <w:tcW w:w="1842" w:type="dxa"/>
          </w:tcPr>
          <w:p w14:paraId="3D3F02C1" w14:textId="77777777" w:rsidR="007822BB" w:rsidRDefault="000C488D" w:rsidP="00D93765">
            <w:pPr>
              <w:pStyle w:val="Stlusregi"/>
              <w:jc w:val="right"/>
            </w:pPr>
            <w:r>
              <w:t>72.877.032</w:t>
            </w:r>
          </w:p>
        </w:tc>
        <w:tc>
          <w:tcPr>
            <w:tcW w:w="1701" w:type="dxa"/>
          </w:tcPr>
          <w:p w14:paraId="35598426" w14:textId="77777777" w:rsidR="007822BB" w:rsidRDefault="000C488D" w:rsidP="00D93765">
            <w:pPr>
              <w:pStyle w:val="Stlusregi"/>
              <w:jc w:val="right"/>
            </w:pPr>
            <w:r>
              <w:t>71.707.032</w:t>
            </w:r>
          </w:p>
        </w:tc>
        <w:tc>
          <w:tcPr>
            <w:tcW w:w="1129" w:type="dxa"/>
          </w:tcPr>
          <w:p w14:paraId="462F7E12" w14:textId="77777777" w:rsidR="007822BB" w:rsidRDefault="000C488D" w:rsidP="00D93765">
            <w:pPr>
              <w:pStyle w:val="Stlusregi"/>
              <w:jc w:val="right"/>
            </w:pPr>
            <w:r>
              <w:t>98</w:t>
            </w:r>
          </w:p>
        </w:tc>
      </w:tr>
      <w:tr w:rsidR="007822BB" w14:paraId="4D031BCC" w14:textId="77777777" w:rsidTr="007822BB">
        <w:tc>
          <w:tcPr>
            <w:tcW w:w="2689" w:type="dxa"/>
          </w:tcPr>
          <w:p w14:paraId="6BB0E6B8" w14:textId="77777777" w:rsidR="007822BB" w:rsidRDefault="007822BB" w:rsidP="00D93765">
            <w:pPr>
              <w:pStyle w:val="Stlusregi"/>
              <w:jc w:val="both"/>
            </w:pPr>
            <w:r>
              <w:t>Dologi kiadások</w:t>
            </w:r>
          </w:p>
        </w:tc>
        <w:tc>
          <w:tcPr>
            <w:tcW w:w="1701" w:type="dxa"/>
          </w:tcPr>
          <w:p w14:paraId="7C900D90" w14:textId="77777777" w:rsidR="007822BB" w:rsidRDefault="000C488D" w:rsidP="00D93765">
            <w:pPr>
              <w:pStyle w:val="Stlusregi"/>
              <w:jc w:val="right"/>
            </w:pPr>
            <w:r>
              <w:t>139.344.587</w:t>
            </w:r>
          </w:p>
        </w:tc>
        <w:tc>
          <w:tcPr>
            <w:tcW w:w="1842" w:type="dxa"/>
          </w:tcPr>
          <w:p w14:paraId="3D653CBB" w14:textId="77777777" w:rsidR="007822BB" w:rsidRDefault="000C488D" w:rsidP="00D93765">
            <w:pPr>
              <w:pStyle w:val="Stlusregi"/>
              <w:jc w:val="right"/>
            </w:pPr>
            <w:r>
              <w:t>181.996.324</w:t>
            </w:r>
          </w:p>
        </w:tc>
        <w:tc>
          <w:tcPr>
            <w:tcW w:w="1701" w:type="dxa"/>
          </w:tcPr>
          <w:p w14:paraId="6FD7AFAB" w14:textId="77777777" w:rsidR="007822BB" w:rsidRDefault="000C488D" w:rsidP="00D93765">
            <w:pPr>
              <w:pStyle w:val="Stlusregi"/>
              <w:jc w:val="right"/>
            </w:pPr>
            <w:r>
              <w:t>144.711.338</w:t>
            </w:r>
          </w:p>
        </w:tc>
        <w:tc>
          <w:tcPr>
            <w:tcW w:w="1129" w:type="dxa"/>
          </w:tcPr>
          <w:p w14:paraId="407B15E0" w14:textId="77777777" w:rsidR="007822BB" w:rsidRDefault="000C488D" w:rsidP="00D93765">
            <w:pPr>
              <w:pStyle w:val="Stlusregi"/>
              <w:jc w:val="right"/>
            </w:pPr>
            <w:r>
              <w:t>80</w:t>
            </w:r>
          </w:p>
        </w:tc>
      </w:tr>
      <w:tr w:rsidR="007822BB" w14:paraId="587B09BE" w14:textId="77777777" w:rsidTr="007822BB">
        <w:tc>
          <w:tcPr>
            <w:tcW w:w="2689" w:type="dxa"/>
          </w:tcPr>
          <w:p w14:paraId="0B4E50C2" w14:textId="77777777" w:rsidR="007822BB" w:rsidRDefault="007822BB" w:rsidP="00D93765">
            <w:pPr>
              <w:pStyle w:val="Stlusregi"/>
              <w:jc w:val="both"/>
            </w:pPr>
            <w:r>
              <w:t>Felhalmozási kiadások</w:t>
            </w:r>
          </w:p>
        </w:tc>
        <w:tc>
          <w:tcPr>
            <w:tcW w:w="1701" w:type="dxa"/>
          </w:tcPr>
          <w:p w14:paraId="567CC850" w14:textId="77777777" w:rsidR="007822BB" w:rsidRDefault="000C488D" w:rsidP="00D93765">
            <w:pPr>
              <w:pStyle w:val="Stlusregi"/>
              <w:jc w:val="right"/>
            </w:pPr>
            <w:r>
              <w:t>5.000.000</w:t>
            </w:r>
          </w:p>
        </w:tc>
        <w:tc>
          <w:tcPr>
            <w:tcW w:w="1842" w:type="dxa"/>
          </w:tcPr>
          <w:p w14:paraId="0C1D9ADA" w14:textId="77777777" w:rsidR="007822BB" w:rsidRDefault="000C488D" w:rsidP="00D93765">
            <w:pPr>
              <w:pStyle w:val="Stlusregi"/>
              <w:jc w:val="right"/>
            </w:pPr>
            <w:r>
              <w:t>6.273.287</w:t>
            </w:r>
          </w:p>
        </w:tc>
        <w:tc>
          <w:tcPr>
            <w:tcW w:w="1701" w:type="dxa"/>
          </w:tcPr>
          <w:p w14:paraId="66CA6559" w14:textId="77777777" w:rsidR="007822BB" w:rsidRDefault="000C488D" w:rsidP="00D93765">
            <w:pPr>
              <w:pStyle w:val="Stlusregi"/>
              <w:jc w:val="right"/>
            </w:pPr>
            <w:r>
              <w:t>705.415</w:t>
            </w:r>
          </w:p>
        </w:tc>
        <w:tc>
          <w:tcPr>
            <w:tcW w:w="1129" w:type="dxa"/>
          </w:tcPr>
          <w:p w14:paraId="7D9F0475" w14:textId="77777777" w:rsidR="007822BB" w:rsidRDefault="000C488D" w:rsidP="00D93765">
            <w:pPr>
              <w:pStyle w:val="Stlusregi"/>
              <w:jc w:val="right"/>
            </w:pPr>
            <w:r>
              <w:t>11</w:t>
            </w:r>
          </w:p>
        </w:tc>
      </w:tr>
      <w:tr w:rsidR="007822BB" w14:paraId="7223A022" w14:textId="77777777" w:rsidTr="007822BB">
        <w:tc>
          <w:tcPr>
            <w:tcW w:w="2689" w:type="dxa"/>
          </w:tcPr>
          <w:p w14:paraId="0331A701" w14:textId="77777777" w:rsidR="007822BB" w:rsidRDefault="007822BB" w:rsidP="00D93765">
            <w:pPr>
              <w:pStyle w:val="Stlusregi"/>
              <w:jc w:val="both"/>
            </w:pPr>
          </w:p>
        </w:tc>
        <w:tc>
          <w:tcPr>
            <w:tcW w:w="1701" w:type="dxa"/>
          </w:tcPr>
          <w:p w14:paraId="22E070D6" w14:textId="77777777" w:rsidR="007822BB" w:rsidRDefault="007822BB" w:rsidP="00D93765">
            <w:pPr>
              <w:pStyle w:val="Stlusregi"/>
              <w:jc w:val="right"/>
            </w:pPr>
          </w:p>
        </w:tc>
        <w:tc>
          <w:tcPr>
            <w:tcW w:w="1842" w:type="dxa"/>
          </w:tcPr>
          <w:p w14:paraId="17558050" w14:textId="77777777" w:rsidR="007822BB" w:rsidRDefault="007822BB" w:rsidP="00D93765">
            <w:pPr>
              <w:pStyle w:val="Stlusregi"/>
              <w:jc w:val="right"/>
            </w:pPr>
          </w:p>
        </w:tc>
        <w:tc>
          <w:tcPr>
            <w:tcW w:w="1701" w:type="dxa"/>
          </w:tcPr>
          <w:p w14:paraId="46283AE1" w14:textId="77777777" w:rsidR="007822BB" w:rsidRDefault="007822BB" w:rsidP="00D93765">
            <w:pPr>
              <w:pStyle w:val="Stlusregi"/>
              <w:jc w:val="right"/>
            </w:pPr>
          </w:p>
        </w:tc>
        <w:tc>
          <w:tcPr>
            <w:tcW w:w="1129" w:type="dxa"/>
          </w:tcPr>
          <w:p w14:paraId="10679DF6" w14:textId="77777777" w:rsidR="007822BB" w:rsidRDefault="007822BB" w:rsidP="00D93765">
            <w:pPr>
              <w:pStyle w:val="Stlusregi"/>
              <w:jc w:val="right"/>
            </w:pPr>
          </w:p>
        </w:tc>
      </w:tr>
      <w:tr w:rsidR="007822BB" w14:paraId="18221DD6" w14:textId="77777777" w:rsidTr="007822BB">
        <w:tc>
          <w:tcPr>
            <w:tcW w:w="2689" w:type="dxa"/>
          </w:tcPr>
          <w:p w14:paraId="5BC33A47" w14:textId="77777777" w:rsidR="007822BB" w:rsidRPr="00D84309" w:rsidRDefault="007822BB" w:rsidP="00D93765">
            <w:pPr>
              <w:pStyle w:val="Stlusregi"/>
              <w:jc w:val="both"/>
              <w:rPr>
                <w:b/>
              </w:rPr>
            </w:pPr>
            <w:r>
              <w:rPr>
                <w:b/>
              </w:rPr>
              <w:t>Kiadások</w:t>
            </w:r>
            <w:r w:rsidRPr="00D84309">
              <w:rPr>
                <w:b/>
              </w:rPr>
              <w:t xml:space="preserve"> összesen</w:t>
            </w:r>
          </w:p>
        </w:tc>
        <w:tc>
          <w:tcPr>
            <w:tcW w:w="1701" w:type="dxa"/>
          </w:tcPr>
          <w:p w14:paraId="6B9F8E6E" w14:textId="77777777" w:rsidR="007822BB" w:rsidRPr="00D84309" w:rsidRDefault="000C488D" w:rsidP="00D93765">
            <w:pPr>
              <w:pStyle w:val="Stlusregi"/>
              <w:jc w:val="right"/>
              <w:rPr>
                <w:b/>
              </w:rPr>
            </w:pPr>
            <w:r>
              <w:rPr>
                <w:b/>
              </w:rPr>
              <w:t>492.223.421</w:t>
            </w:r>
          </w:p>
        </w:tc>
        <w:tc>
          <w:tcPr>
            <w:tcW w:w="1842" w:type="dxa"/>
          </w:tcPr>
          <w:p w14:paraId="63280D97" w14:textId="77777777" w:rsidR="007822BB" w:rsidRPr="00D84309" w:rsidRDefault="000C488D" w:rsidP="00D93765">
            <w:pPr>
              <w:pStyle w:val="Stlusregi"/>
              <w:jc w:val="right"/>
              <w:rPr>
                <w:b/>
              </w:rPr>
            </w:pPr>
            <w:r>
              <w:rPr>
                <w:b/>
              </w:rPr>
              <w:t>622.925.667</w:t>
            </w:r>
          </w:p>
        </w:tc>
        <w:tc>
          <w:tcPr>
            <w:tcW w:w="1701" w:type="dxa"/>
          </w:tcPr>
          <w:p w14:paraId="129E4EF9" w14:textId="77777777" w:rsidR="007822BB" w:rsidRPr="00D84309" w:rsidRDefault="000C488D" w:rsidP="00D93765">
            <w:pPr>
              <w:pStyle w:val="Stlusregi"/>
              <w:jc w:val="right"/>
              <w:rPr>
                <w:b/>
              </w:rPr>
            </w:pPr>
            <w:r>
              <w:rPr>
                <w:b/>
              </w:rPr>
              <w:t>559.913.351</w:t>
            </w:r>
          </w:p>
        </w:tc>
        <w:tc>
          <w:tcPr>
            <w:tcW w:w="1129" w:type="dxa"/>
          </w:tcPr>
          <w:p w14:paraId="5E485642" w14:textId="77777777" w:rsidR="007822BB" w:rsidRPr="00D84309" w:rsidRDefault="000C488D" w:rsidP="00D93765">
            <w:pPr>
              <w:pStyle w:val="Stlusregi"/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6FDF57E2" w14:textId="77777777" w:rsidR="007822BB" w:rsidRDefault="007822BB" w:rsidP="00CF7760">
      <w:pPr>
        <w:pStyle w:val="Stlusregi"/>
        <w:jc w:val="both"/>
      </w:pPr>
    </w:p>
    <w:p w14:paraId="663B5B55" w14:textId="77777777" w:rsidR="00D35A53" w:rsidRPr="00FE261B" w:rsidRDefault="00D35A53" w:rsidP="00D35A53">
      <w:pPr>
        <w:pStyle w:val="Stlusregi"/>
        <w:numPr>
          <w:ilvl w:val="0"/>
          <w:numId w:val="1"/>
        </w:numPr>
        <w:jc w:val="both"/>
        <w:rPr>
          <w:b/>
        </w:rPr>
      </w:pPr>
      <w:r w:rsidRPr="00FE261B">
        <w:rPr>
          <w:b/>
        </w:rPr>
        <w:t>Személyi juttatások</w:t>
      </w:r>
    </w:p>
    <w:p w14:paraId="0E2BAAD1" w14:textId="77777777" w:rsidR="00D35A53" w:rsidRDefault="00D35A53" w:rsidP="00D35A53">
      <w:pPr>
        <w:pStyle w:val="Stlusregi"/>
        <w:ind w:left="720"/>
        <w:jc w:val="both"/>
      </w:pPr>
    </w:p>
    <w:p w14:paraId="3C44CCB9" w14:textId="77777777" w:rsidR="00D35A53" w:rsidRDefault="00D35A53" w:rsidP="00D35A53">
      <w:pPr>
        <w:pStyle w:val="Stlusregi"/>
        <w:ind w:left="720"/>
        <w:jc w:val="both"/>
      </w:pPr>
      <w:r>
        <w:t xml:space="preserve">A személyi juttatások </w:t>
      </w:r>
      <w:r w:rsidR="00EC12F2">
        <w:t xml:space="preserve">előirányzata év közben </w:t>
      </w:r>
      <w:r w:rsidR="00D908B3">
        <w:t>73.051.625</w:t>
      </w:r>
      <w:r>
        <w:t xml:space="preserve"> Ft-tal növekedett, amely az alábbi tételekből tevődött össze:</w:t>
      </w:r>
    </w:p>
    <w:p w14:paraId="366EA2E9" w14:textId="77777777" w:rsidR="00D35A53" w:rsidRDefault="007D472B" w:rsidP="00D35A53">
      <w:pPr>
        <w:pStyle w:val="Stlusregi"/>
        <w:numPr>
          <w:ilvl w:val="1"/>
          <w:numId w:val="1"/>
        </w:numPr>
        <w:jc w:val="both"/>
      </w:pPr>
      <w:r>
        <w:t>Szociális ága</w:t>
      </w:r>
      <w:r w:rsidR="00EC12F2">
        <w:t xml:space="preserve">zati összevont pótlék </w:t>
      </w:r>
      <w:r w:rsidR="003172CE">
        <w:t>41.127.164</w:t>
      </w:r>
      <w:r>
        <w:t xml:space="preserve"> Ft</w:t>
      </w:r>
    </w:p>
    <w:p w14:paraId="4D6C85FB" w14:textId="77777777" w:rsidR="007D472B" w:rsidRDefault="00EC12F2" w:rsidP="00D35A53">
      <w:pPr>
        <w:pStyle w:val="Stlusregi"/>
        <w:numPr>
          <w:ilvl w:val="1"/>
          <w:numId w:val="1"/>
        </w:numPr>
        <w:jc w:val="both"/>
      </w:pPr>
      <w:r>
        <w:t xml:space="preserve">Bérkompenzáció </w:t>
      </w:r>
      <w:r w:rsidR="003172CE">
        <w:t>4.963.500</w:t>
      </w:r>
      <w:r w:rsidR="007D472B">
        <w:t xml:space="preserve"> Ft</w:t>
      </w:r>
    </w:p>
    <w:p w14:paraId="575CD702" w14:textId="77777777" w:rsidR="007D472B" w:rsidRDefault="003172CE" w:rsidP="00D35A53">
      <w:pPr>
        <w:pStyle w:val="Stlusregi"/>
        <w:numPr>
          <w:ilvl w:val="1"/>
          <w:numId w:val="1"/>
        </w:numPr>
        <w:jc w:val="both"/>
      </w:pPr>
      <w:r>
        <w:t>Egészségügyi kiegészítő pótlék 2.302.289 Ft</w:t>
      </w:r>
    </w:p>
    <w:p w14:paraId="1FB145FD" w14:textId="77777777" w:rsidR="007D472B" w:rsidRDefault="00EC12F2" w:rsidP="00D35A53">
      <w:pPr>
        <w:pStyle w:val="Stlusregi"/>
        <w:numPr>
          <w:ilvl w:val="1"/>
          <w:numId w:val="1"/>
        </w:numPr>
        <w:jc w:val="both"/>
      </w:pPr>
      <w:r>
        <w:t xml:space="preserve">Közfoglalkoztatás: </w:t>
      </w:r>
      <w:r w:rsidR="003172CE">
        <w:t>10.472.841</w:t>
      </w:r>
      <w:r w:rsidR="007D472B">
        <w:t xml:space="preserve"> Ft, diákmunka </w:t>
      </w:r>
      <w:r w:rsidR="003172CE">
        <w:t>338.728</w:t>
      </w:r>
      <w:r w:rsidR="007D472B">
        <w:t xml:space="preserve"> Ft, mu</w:t>
      </w:r>
      <w:r>
        <w:t xml:space="preserve">nkahelyteremtő támogatás </w:t>
      </w:r>
      <w:r w:rsidR="003172CE">
        <w:t>2.003.593</w:t>
      </w:r>
      <w:r w:rsidR="007D472B">
        <w:t xml:space="preserve"> Ft (Baranya Megyei Kormányhivataltól átvett pénzeszköz</w:t>
      </w:r>
      <w:r w:rsidR="003172CE">
        <w:t>ök</w:t>
      </w:r>
      <w:r w:rsidR="007D472B">
        <w:t>)</w:t>
      </w:r>
    </w:p>
    <w:p w14:paraId="6ED6C1B7" w14:textId="77777777" w:rsidR="007D472B" w:rsidRDefault="007D472B" w:rsidP="00D35A53">
      <w:pPr>
        <w:pStyle w:val="Stlusregi"/>
        <w:numPr>
          <w:ilvl w:val="1"/>
          <w:numId w:val="1"/>
        </w:numPr>
        <w:jc w:val="both"/>
      </w:pPr>
      <w:r>
        <w:t xml:space="preserve">Otthoni szakápolás </w:t>
      </w:r>
      <w:r w:rsidR="003172CE">
        <w:t xml:space="preserve">7.405.090 </w:t>
      </w:r>
      <w:r>
        <w:t>Ft (Nemzeti Egészségbiztosítási Alapkezelőtől átvett pénzeszköz)</w:t>
      </w:r>
    </w:p>
    <w:p w14:paraId="3FD27C45" w14:textId="77777777" w:rsidR="007D472B" w:rsidRDefault="003172CE" w:rsidP="00D35A53">
      <w:pPr>
        <w:pStyle w:val="Stlusregi"/>
        <w:numPr>
          <w:ilvl w:val="1"/>
          <w:numId w:val="1"/>
        </w:numPr>
        <w:jc w:val="both"/>
      </w:pPr>
      <w:r>
        <w:t>2017</w:t>
      </w:r>
      <w:r w:rsidR="007D472B">
        <w:t xml:space="preserve">. évi pénzmaradvány </w:t>
      </w:r>
      <w:r>
        <w:t xml:space="preserve">4.197.688 </w:t>
      </w:r>
      <w:r w:rsidR="007D472B">
        <w:t>Ft (otthoni szakápolás, NEAK-</w:t>
      </w:r>
      <w:proofErr w:type="spellStart"/>
      <w:r w:rsidR="007D472B">
        <w:t>tól</w:t>
      </w:r>
      <w:proofErr w:type="spellEnd"/>
      <w:r w:rsidR="007D472B">
        <w:t xml:space="preserve"> átvett pénzeszköz része)</w:t>
      </w:r>
    </w:p>
    <w:p w14:paraId="08F64766" w14:textId="77777777" w:rsidR="005603E3" w:rsidRDefault="005603E3" w:rsidP="00D35A53">
      <w:pPr>
        <w:pStyle w:val="Stlusregi"/>
        <w:numPr>
          <w:ilvl w:val="1"/>
          <w:numId w:val="1"/>
        </w:numPr>
        <w:jc w:val="both"/>
      </w:pPr>
      <w:r>
        <w:t>Fejlesztő foglalkoztatás pályázat 240.732 Ft.</w:t>
      </w:r>
    </w:p>
    <w:p w14:paraId="6B1DCFD8" w14:textId="77777777" w:rsidR="005603E3" w:rsidRDefault="005603E3" w:rsidP="005603E3">
      <w:pPr>
        <w:pStyle w:val="Stlusregi"/>
        <w:ind w:left="1440"/>
        <w:jc w:val="both"/>
      </w:pPr>
    </w:p>
    <w:p w14:paraId="71BB8FB8" w14:textId="77777777" w:rsidR="00013828" w:rsidRDefault="007D472B" w:rsidP="00013828">
      <w:pPr>
        <w:pStyle w:val="Stlusregi"/>
        <w:ind w:left="720"/>
        <w:jc w:val="both"/>
      </w:pPr>
      <w:r>
        <w:t xml:space="preserve">A személyi juttatások előirányzatának teljesítése </w:t>
      </w:r>
      <w:r w:rsidR="003172CE">
        <w:t xml:space="preserve">342.789.566 </w:t>
      </w:r>
      <w:r>
        <w:t>Ft</w:t>
      </w:r>
      <w:r w:rsidR="003172CE">
        <w:t>.</w:t>
      </w:r>
      <w:r w:rsidR="00EC12F2">
        <w:t xml:space="preserve"> Az előző évekhez hasonlóan 2018-ba</w:t>
      </w:r>
      <w:r w:rsidR="00013828">
        <w:t>n is szigorú létszámgazdálkodást folytattunk. A dolgozók változó munkahelyen végezték a feladatokat, szükség esetén belső átcsoportosítással éltünk.</w:t>
      </w:r>
    </w:p>
    <w:p w14:paraId="43858898" w14:textId="77777777" w:rsidR="00013828" w:rsidRDefault="00013828" w:rsidP="00013828">
      <w:pPr>
        <w:pStyle w:val="Stlusregi"/>
        <w:jc w:val="both"/>
      </w:pPr>
    </w:p>
    <w:p w14:paraId="74D607B5" w14:textId="77777777" w:rsidR="00013828" w:rsidRPr="00FE261B" w:rsidRDefault="00013828" w:rsidP="00013828">
      <w:pPr>
        <w:pStyle w:val="Stlusregi"/>
        <w:numPr>
          <w:ilvl w:val="0"/>
          <w:numId w:val="1"/>
        </w:numPr>
        <w:jc w:val="both"/>
        <w:rPr>
          <w:b/>
        </w:rPr>
      </w:pPr>
      <w:r w:rsidRPr="00FE261B">
        <w:rPr>
          <w:b/>
        </w:rPr>
        <w:t>Munkaadókat terhelő járulékok:</w:t>
      </w:r>
    </w:p>
    <w:p w14:paraId="51F29873" w14:textId="77777777" w:rsidR="00013828" w:rsidRDefault="00013828" w:rsidP="00013828">
      <w:pPr>
        <w:pStyle w:val="Stlusregi"/>
        <w:jc w:val="both"/>
      </w:pPr>
    </w:p>
    <w:p w14:paraId="62CF4A9E" w14:textId="77777777" w:rsidR="00013828" w:rsidRDefault="00013828" w:rsidP="00013828">
      <w:pPr>
        <w:pStyle w:val="Stlusregi"/>
        <w:ind w:left="360"/>
        <w:jc w:val="both"/>
      </w:pPr>
      <w:r>
        <w:t xml:space="preserve">A rendelkezésre álló eredeti előirányzat év közben </w:t>
      </w:r>
      <w:r w:rsidR="003172CE">
        <w:t xml:space="preserve">13.725.597 </w:t>
      </w:r>
      <w:r>
        <w:t>Ft-tal növekedett.</w:t>
      </w:r>
    </w:p>
    <w:p w14:paraId="456E7D3E" w14:textId="77777777" w:rsidR="00013828" w:rsidRDefault="00013828" w:rsidP="00013828">
      <w:pPr>
        <w:pStyle w:val="Stlusregi"/>
        <w:numPr>
          <w:ilvl w:val="1"/>
          <w:numId w:val="1"/>
        </w:numPr>
        <w:jc w:val="both"/>
      </w:pPr>
      <w:r>
        <w:t xml:space="preserve">Szociális ágazati összevont pótlék </w:t>
      </w:r>
      <w:r w:rsidR="003172CE">
        <w:t xml:space="preserve">8.043.983 </w:t>
      </w:r>
      <w:r>
        <w:t>Ft</w:t>
      </w:r>
    </w:p>
    <w:p w14:paraId="3AC7984D" w14:textId="77777777" w:rsidR="00013828" w:rsidRDefault="00013828" w:rsidP="00013828">
      <w:pPr>
        <w:pStyle w:val="Stlusregi"/>
        <w:numPr>
          <w:ilvl w:val="1"/>
          <w:numId w:val="1"/>
        </w:numPr>
        <w:jc w:val="both"/>
      </w:pPr>
      <w:r>
        <w:t xml:space="preserve">Bérkompenzáció </w:t>
      </w:r>
      <w:r w:rsidR="003172CE">
        <w:t xml:space="preserve">981.284 </w:t>
      </w:r>
      <w:r>
        <w:t>Ft</w:t>
      </w:r>
    </w:p>
    <w:p w14:paraId="162AA794" w14:textId="77777777" w:rsidR="00013828" w:rsidRDefault="003172CE" w:rsidP="00013828">
      <w:pPr>
        <w:pStyle w:val="Stlusregi"/>
        <w:numPr>
          <w:ilvl w:val="1"/>
          <w:numId w:val="1"/>
        </w:numPr>
        <w:jc w:val="both"/>
      </w:pPr>
      <w:r>
        <w:t>Egészségügyi kiegészítő pótlék 448.956</w:t>
      </w:r>
      <w:r w:rsidR="00013828">
        <w:t xml:space="preserve"> Ft</w:t>
      </w:r>
    </w:p>
    <w:p w14:paraId="7D6B97ED" w14:textId="77777777" w:rsidR="00013828" w:rsidRDefault="00013828" w:rsidP="00013828">
      <w:pPr>
        <w:pStyle w:val="Stlusregi"/>
        <w:numPr>
          <w:ilvl w:val="1"/>
          <w:numId w:val="1"/>
        </w:numPr>
        <w:jc w:val="both"/>
      </w:pPr>
      <w:r>
        <w:t>Közfoglalkoztatás:</w:t>
      </w:r>
      <w:r w:rsidR="003172CE">
        <w:t xml:space="preserve"> 1.030.977</w:t>
      </w:r>
      <w:r>
        <w:t xml:space="preserve"> Ft, diákmunka </w:t>
      </w:r>
      <w:r w:rsidR="003172CE">
        <w:t>66.051</w:t>
      </w:r>
      <w:r>
        <w:t xml:space="preserve"> Ft, munkahelyteremtő támogatás </w:t>
      </w:r>
      <w:r w:rsidR="003172CE">
        <w:t>395.103</w:t>
      </w:r>
      <w:r>
        <w:t xml:space="preserve"> Ft (Baranya Megyei Kormányhivataltól átvett pénzeszköz</w:t>
      </w:r>
      <w:r w:rsidR="003172CE">
        <w:t>ök</w:t>
      </w:r>
      <w:r>
        <w:t>)</w:t>
      </w:r>
    </w:p>
    <w:p w14:paraId="23B06406" w14:textId="77777777" w:rsidR="00013828" w:rsidRDefault="00013828" w:rsidP="00013828">
      <w:pPr>
        <w:pStyle w:val="Stlusregi"/>
        <w:numPr>
          <w:ilvl w:val="1"/>
          <w:numId w:val="1"/>
        </w:numPr>
        <w:jc w:val="both"/>
      </w:pPr>
      <w:r>
        <w:t xml:space="preserve">Otthoni szakápolás </w:t>
      </w:r>
      <w:r w:rsidR="003172CE">
        <w:t>1.425.783</w:t>
      </w:r>
      <w:r>
        <w:t xml:space="preserve"> Ft (Nemzeti Egészségbiztosítási Alapkezelőtől átvett pénzeszköz)</w:t>
      </w:r>
    </w:p>
    <w:p w14:paraId="40F9F6A6" w14:textId="77777777" w:rsidR="00013828" w:rsidRDefault="00EC12F2" w:rsidP="00013828">
      <w:pPr>
        <w:pStyle w:val="Stlusregi"/>
        <w:numPr>
          <w:ilvl w:val="1"/>
          <w:numId w:val="1"/>
        </w:numPr>
        <w:jc w:val="both"/>
      </w:pPr>
      <w:r>
        <w:t>2017. évi pénzmaradvány</w:t>
      </w:r>
      <w:r w:rsidR="00013828">
        <w:t xml:space="preserve"> </w:t>
      </w:r>
      <w:r w:rsidR="003172CE">
        <w:t xml:space="preserve">833.141 </w:t>
      </w:r>
      <w:r w:rsidR="00013828">
        <w:t>Ft (otthoni szakápolás, NEAK-</w:t>
      </w:r>
      <w:proofErr w:type="spellStart"/>
      <w:r w:rsidR="00013828">
        <w:t>tól</w:t>
      </w:r>
      <w:proofErr w:type="spellEnd"/>
      <w:r w:rsidR="00013828">
        <w:t xml:space="preserve"> átvett pénzeszköz része)</w:t>
      </w:r>
    </w:p>
    <w:p w14:paraId="5078082F" w14:textId="77777777" w:rsidR="00E43C11" w:rsidRDefault="00E43C11" w:rsidP="00013828">
      <w:pPr>
        <w:pStyle w:val="Stlusregi"/>
        <w:numPr>
          <w:ilvl w:val="1"/>
          <w:numId w:val="1"/>
        </w:numPr>
        <w:jc w:val="both"/>
      </w:pPr>
      <w:r>
        <w:t xml:space="preserve">Belső átcsoportosítás 500.319 Ft </w:t>
      </w:r>
    </w:p>
    <w:p w14:paraId="27DED0A9" w14:textId="77777777" w:rsidR="00013828" w:rsidRDefault="0032645A" w:rsidP="0032645A">
      <w:pPr>
        <w:pStyle w:val="Stlusregi"/>
        <w:ind w:left="360" w:firstLine="348"/>
        <w:jc w:val="both"/>
      </w:pPr>
      <w:r>
        <w:t xml:space="preserve">A munkaadókat terhelő járulékok teljesítése </w:t>
      </w:r>
      <w:r w:rsidR="003172CE">
        <w:t xml:space="preserve">71.707.032 </w:t>
      </w:r>
      <w:r>
        <w:t>Ft.</w:t>
      </w:r>
    </w:p>
    <w:p w14:paraId="29F7B837" w14:textId="77777777" w:rsidR="0032645A" w:rsidRDefault="00752C59" w:rsidP="001A7428">
      <w:pPr>
        <w:pStyle w:val="Stlusregi"/>
        <w:ind w:left="360"/>
        <w:jc w:val="both"/>
      </w:pPr>
      <w:r>
        <w:br w:type="page"/>
      </w:r>
    </w:p>
    <w:p w14:paraId="1F62E123" w14:textId="77777777" w:rsidR="0032645A" w:rsidRPr="00FE261B" w:rsidRDefault="0032645A" w:rsidP="0032645A">
      <w:pPr>
        <w:pStyle w:val="Stlusregi"/>
        <w:numPr>
          <w:ilvl w:val="0"/>
          <w:numId w:val="1"/>
        </w:numPr>
        <w:jc w:val="both"/>
        <w:rPr>
          <w:b/>
        </w:rPr>
      </w:pPr>
      <w:r w:rsidRPr="00FE261B">
        <w:rPr>
          <w:b/>
        </w:rPr>
        <w:lastRenderedPageBreak/>
        <w:t>Dologi kiadások</w:t>
      </w:r>
    </w:p>
    <w:p w14:paraId="2F63B64F" w14:textId="77777777" w:rsidR="0032645A" w:rsidRDefault="0032645A" w:rsidP="0032645A">
      <w:pPr>
        <w:pStyle w:val="Stlusregi"/>
        <w:jc w:val="both"/>
      </w:pPr>
    </w:p>
    <w:p w14:paraId="1F55D030" w14:textId="77777777" w:rsidR="0032645A" w:rsidRDefault="0032645A" w:rsidP="0032645A">
      <w:pPr>
        <w:pStyle w:val="Stlusregi"/>
        <w:ind w:left="360"/>
        <w:jc w:val="both"/>
      </w:pPr>
      <w:r>
        <w:t xml:space="preserve">Az eredeti előirányzat </w:t>
      </w:r>
      <w:r w:rsidR="00752C59">
        <w:t xml:space="preserve">139.344.587 </w:t>
      </w:r>
      <w:r>
        <w:t xml:space="preserve">Ft, a módosított </w:t>
      </w:r>
      <w:r w:rsidR="00752C59">
        <w:t>előirányzat 181.996.324</w:t>
      </w:r>
      <w:r>
        <w:t xml:space="preserve"> Ft, teljesítés </w:t>
      </w:r>
      <w:r w:rsidR="00752C59">
        <w:t xml:space="preserve">144.711.338 </w:t>
      </w:r>
      <w:r>
        <w:t>Ft.</w:t>
      </w:r>
    </w:p>
    <w:p w14:paraId="3A2092F6" w14:textId="77777777" w:rsidR="0032645A" w:rsidRDefault="0032645A" w:rsidP="0032645A">
      <w:pPr>
        <w:pStyle w:val="Stlusregi"/>
        <w:ind w:left="360"/>
        <w:jc w:val="both"/>
      </w:pPr>
    </w:p>
    <w:p w14:paraId="0EB2B2D3" w14:textId="77777777" w:rsidR="0032645A" w:rsidRDefault="0032645A" w:rsidP="0032645A">
      <w:pPr>
        <w:pStyle w:val="Stlusregi"/>
        <w:ind w:left="360"/>
        <w:jc w:val="both"/>
      </w:pPr>
      <w:r>
        <w:t>Előirányzat változásának összetevői:</w:t>
      </w:r>
    </w:p>
    <w:p w14:paraId="7882F8C1" w14:textId="77777777" w:rsidR="0032645A" w:rsidRDefault="0032645A" w:rsidP="0032645A">
      <w:pPr>
        <w:pStyle w:val="Stlusregi"/>
        <w:numPr>
          <w:ilvl w:val="1"/>
          <w:numId w:val="1"/>
        </w:numPr>
        <w:jc w:val="both"/>
      </w:pPr>
      <w:r>
        <w:t>Nemzeti Egészségbiztosítási Alapkezel</w:t>
      </w:r>
      <w:r w:rsidR="00EC12F2">
        <w:t>őtől átvett pénzeszköz 3</w:t>
      </w:r>
      <w:r w:rsidR="00752C59">
        <w:t>.159.027</w:t>
      </w:r>
      <w:r>
        <w:t xml:space="preserve"> Ft</w:t>
      </w:r>
      <w:r w:rsidR="00347E50">
        <w:t>, előző évi pénzmaradvány ottho</w:t>
      </w:r>
      <w:r w:rsidR="00EC12F2">
        <w:t xml:space="preserve">ni szakápolásra </w:t>
      </w:r>
      <w:r w:rsidR="00752C59">
        <w:t>1.510.669</w:t>
      </w:r>
      <w:r w:rsidR="00347E50">
        <w:t xml:space="preserve"> Ft</w:t>
      </w:r>
    </w:p>
    <w:p w14:paraId="538DF57B" w14:textId="77777777" w:rsidR="0032645A" w:rsidRDefault="0032645A" w:rsidP="0032645A">
      <w:pPr>
        <w:pStyle w:val="Stlusregi"/>
        <w:numPr>
          <w:ilvl w:val="1"/>
          <w:numId w:val="1"/>
        </w:numPr>
        <w:jc w:val="both"/>
      </w:pPr>
      <w:r>
        <w:t xml:space="preserve">Előző évi pénzmaradvány </w:t>
      </w:r>
      <w:r w:rsidR="00752C59">
        <w:t xml:space="preserve">12.875.090 </w:t>
      </w:r>
      <w:r>
        <w:t>Ft</w:t>
      </w:r>
    </w:p>
    <w:p w14:paraId="080F42C8" w14:textId="77777777" w:rsidR="00347E50" w:rsidRDefault="003100E7" w:rsidP="00347E50">
      <w:pPr>
        <w:pStyle w:val="Stlusregi"/>
        <w:numPr>
          <w:ilvl w:val="1"/>
          <w:numId w:val="1"/>
        </w:numPr>
        <w:jc w:val="both"/>
      </w:pPr>
      <w:r>
        <w:t xml:space="preserve">Pécs MJV Önkormányzatától 2016. évi működési támogatás elmaradás rendezése miatt 24.172.911 </w:t>
      </w:r>
      <w:r w:rsidR="00347E50">
        <w:t>Ft</w:t>
      </w:r>
    </w:p>
    <w:p w14:paraId="4C81B6FE" w14:textId="77777777" w:rsidR="0032645A" w:rsidRDefault="00347E50" w:rsidP="0032645A">
      <w:pPr>
        <w:pStyle w:val="Stlusregi"/>
        <w:numPr>
          <w:ilvl w:val="1"/>
          <w:numId w:val="1"/>
        </w:numPr>
        <w:jc w:val="both"/>
      </w:pPr>
      <w:r>
        <w:t xml:space="preserve">Működési bevétel – </w:t>
      </w:r>
      <w:r w:rsidR="003100E7">
        <w:t>bérleti díj 180.000 Ft</w:t>
      </w:r>
    </w:p>
    <w:p w14:paraId="2755FAED" w14:textId="77777777" w:rsidR="003100E7" w:rsidRDefault="003100E7" w:rsidP="0032645A">
      <w:pPr>
        <w:pStyle w:val="Stlusregi"/>
        <w:numPr>
          <w:ilvl w:val="1"/>
          <w:numId w:val="1"/>
        </w:numPr>
        <w:jc w:val="both"/>
      </w:pPr>
      <w:r>
        <w:t>Működési bevétel – fejlesztő foglalkoztatás termékértékesítés 399.850 Ft</w:t>
      </w:r>
    </w:p>
    <w:p w14:paraId="288828F8" w14:textId="77777777" w:rsidR="003100E7" w:rsidRDefault="003100E7" w:rsidP="0032645A">
      <w:pPr>
        <w:pStyle w:val="Stlusregi"/>
        <w:numPr>
          <w:ilvl w:val="1"/>
          <w:numId w:val="1"/>
        </w:numPr>
        <w:jc w:val="both"/>
      </w:pPr>
      <w:r>
        <w:t>Fejlesztő foglalkoztatásra átvett pénzeszköz módosítása 294.190 Ft</w:t>
      </w:r>
    </w:p>
    <w:p w14:paraId="0A9887E4" w14:textId="77777777" w:rsidR="00347E50" w:rsidRDefault="00347E50" w:rsidP="0032645A">
      <w:pPr>
        <w:pStyle w:val="Stlusregi"/>
        <w:numPr>
          <w:ilvl w:val="1"/>
          <w:numId w:val="1"/>
        </w:numPr>
        <w:jc w:val="both"/>
      </w:pPr>
      <w:r>
        <w:t xml:space="preserve">Választókörzeti keret terhére </w:t>
      </w:r>
      <w:r w:rsidR="00EC12F2">
        <w:t>Pécs MJV Ö</w:t>
      </w:r>
      <w:r>
        <w:t>nkormányza</w:t>
      </w:r>
      <w:r w:rsidR="00EC12F2">
        <w:t>tától átvett pénzeszköz 60.000</w:t>
      </w:r>
      <w:r>
        <w:t xml:space="preserve"> Ft.</w:t>
      </w:r>
    </w:p>
    <w:p w14:paraId="18A1E87B" w14:textId="77777777" w:rsidR="00347E50" w:rsidRDefault="00347E50" w:rsidP="00347E50">
      <w:pPr>
        <w:pStyle w:val="Stlusregi"/>
        <w:ind w:left="1440"/>
        <w:jc w:val="both"/>
      </w:pPr>
    </w:p>
    <w:p w14:paraId="1660886F" w14:textId="77777777" w:rsidR="00347E50" w:rsidRDefault="00347E50" w:rsidP="00347E50">
      <w:pPr>
        <w:pStyle w:val="Stlusregi"/>
        <w:ind w:left="708"/>
        <w:jc w:val="both"/>
      </w:pPr>
      <w:r>
        <w:t>A dologi kiadásoknál is elsődleges szempont a feladathoz igazodó takarékos gazdálkodás. Feladataink ellátásához mindig csak a feltétlenül szükséges anyagokat, szolgáltatásokat vásároltuk meg.</w:t>
      </w:r>
    </w:p>
    <w:p w14:paraId="105EC452" w14:textId="77777777" w:rsidR="00347E50" w:rsidRDefault="00347E50" w:rsidP="00347E50">
      <w:pPr>
        <w:pStyle w:val="Stlusregi"/>
        <w:ind w:left="708"/>
        <w:jc w:val="both"/>
      </w:pPr>
    </w:p>
    <w:p w14:paraId="1E9E47E5" w14:textId="77777777" w:rsidR="0032645A" w:rsidRDefault="0032645A" w:rsidP="0032645A">
      <w:pPr>
        <w:pStyle w:val="Stlusregi"/>
        <w:ind w:left="360"/>
        <w:jc w:val="both"/>
      </w:pPr>
    </w:p>
    <w:p w14:paraId="3938E852" w14:textId="77777777" w:rsidR="00013828" w:rsidRPr="00FE261B" w:rsidRDefault="00B85698" w:rsidP="00952782">
      <w:pPr>
        <w:pStyle w:val="Stlusregi"/>
        <w:numPr>
          <w:ilvl w:val="0"/>
          <w:numId w:val="1"/>
        </w:numPr>
        <w:jc w:val="both"/>
        <w:rPr>
          <w:b/>
        </w:rPr>
      </w:pPr>
      <w:r>
        <w:rPr>
          <w:b/>
        </w:rPr>
        <w:t>Felhalmozási</w:t>
      </w:r>
      <w:r w:rsidR="00952782" w:rsidRPr="00FE261B">
        <w:rPr>
          <w:b/>
        </w:rPr>
        <w:t xml:space="preserve"> </w:t>
      </w:r>
      <w:r>
        <w:rPr>
          <w:b/>
        </w:rPr>
        <w:t>(beruházási,</w:t>
      </w:r>
      <w:r w:rsidR="00E3718F">
        <w:rPr>
          <w:b/>
        </w:rPr>
        <w:t xml:space="preserve"> </w:t>
      </w:r>
      <w:r w:rsidR="00952782" w:rsidRPr="00FE261B">
        <w:rPr>
          <w:b/>
        </w:rPr>
        <w:t>felújítási</w:t>
      </w:r>
      <w:r>
        <w:rPr>
          <w:b/>
        </w:rPr>
        <w:t>)</w:t>
      </w:r>
      <w:r w:rsidR="00952782" w:rsidRPr="00FE261B">
        <w:rPr>
          <w:b/>
        </w:rPr>
        <w:t xml:space="preserve"> kiadások</w:t>
      </w:r>
    </w:p>
    <w:p w14:paraId="57355A3E" w14:textId="77777777" w:rsidR="00952782" w:rsidRDefault="00952782" w:rsidP="00952782">
      <w:pPr>
        <w:pStyle w:val="Stlusregi"/>
        <w:jc w:val="both"/>
      </w:pPr>
    </w:p>
    <w:p w14:paraId="34D3EF2A" w14:textId="77777777" w:rsidR="00952782" w:rsidRDefault="00952782" w:rsidP="00952782">
      <w:pPr>
        <w:pStyle w:val="Stlusregi"/>
        <w:ind w:left="708"/>
        <w:jc w:val="both"/>
      </w:pPr>
      <w:r>
        <w:t xml:space="preserve">Az eredeti előirányzat </w:t>
      </w:r>
      <w:r w:rsidR="003100E7">
        <w:t xml:space="preserve">5.000.000 </w:t>
      </w:r>
      <w:r>
        <w:t>Ft felhalmozás</w:t>
      </w:r>
      <w:r w:rsidR="001145D9">
        <w:t xml:space="preserve">i kiadást tartalmazott, amely az előző évi </w:t>
      </w:r>
      <w:r>
        <w:t xml:space="preserve">pénzmaradványból </w:t>
      </w:r>
      <w:r w:rsidR="003100E7">
        <w:t xml:space="preserve">49.387 </w:t>
      </w:r>
      <w:r>
        <w:t>Ft-</w:t>
      </w:r>
      <w:r w:rsidR="001145D9">
        <w:t>tal, otthoni szak</w:t>
      </w:r>
      <w:r w:rsidR="003100E7">
        <w:t>ápolás finanszírozásából 1.223.900</w:t>
      </w:r>
      <w:r w:rsidR="001145D9">
        <w:t xml:space="preserve"> Ft-tal növekedett.</w:t>
      </w:r>
      <w:r w:rsidR="00072B28">
        <w:t xml:space="preserve"> (Módosított előirányzat összesen: </w:t>
      </w:r>
      <w:r w:rsidR="003100E7">
        <w:t xml:space="preserve">6.273.287 </w:t>
      </w:r>
      <w:r w:rsidR="00072B28">
        <w:t>Ft).</w:t>
      </w:r>
      <w:r w:rsidR="003100E7">
        <w:t xml:space="preserve"> A finanszírozási nehézségek miatt ténylegesen csak a legszükségesebb eszközöket vásároltuk meg, összesen </w:t>
      </w:r>
      <w:r w:rsidR="006F6E29">
        <w:t xml:space="preserve">bruttó </w:t>
      </w:r>
      <w:r w:rsidR="003100E7">
        <w:t>705.415 Ft értékben:</w:t>
      </w:r>
    </w:p>
    <w:p w14:paraId="418AF4A6" w14:textId="77777777" w:rsidR="00776DE9" w:rsidRDefault="00776DE9" w:rsidP="003100E7">
      <w:pPr>
        <w:pStyle w:val="Stlusregi"/>
        <w:jc w:val="both"/>
      </w:pPr>
    </w:p>
    <w:p w14:paraId="0AD86EB5" w14:textId="77777777" w:rsidR="00C3546A" w:rsidRDefault="00115A21" w:rsidP="006F6E29">
      <w:pPr>
        <w:pStyle w:val="Stlusregi"/>
        <w:numPr>
          <w:ilvl w:val="1"/>
          <w:numId w:val="1"/>
        </w:numPr>
        <w:jc w:val="both"/>
      </w:pPr>
      <w:r>
        <w:t xml:space="preserve">informatikai eszközök </w:t>
      </w:r>
      <w:r w:rsidR="00072B28">
        <w:t xml:space="preserve">beszerzése </w:t>
      </w:r>
      <w:r w:rsidR="006F6E29">
        <w:t xml:space="preserve">355.346 </w:t>
      </w:r>
      <w:r>
        <w:t>Ft</w:t>
      </w:r>
    </w:p>
    <w:p w14:paraId="2C1BC689" w14:textId="77777777" w:rsidR="00776DE9" w:rsidRDefault="006F6E29" w:rsidP="006F6E29">
      <w:pPr>
        <w:pStyle w:val="Stlusregi"/>
        <w:numPr>
          <w:ilvl w:val="1"/>
          <w:numId w:val="1"/>
        </w:numPr>
        <w:jc w:val="both"/>
      </w:pPr>
      <w:r>
        <w:t>gépkocsikhoz tartozékok (autógumik, akkumulátorok)</w:t>
      </w:r>
      <w:r w:rsidR="00EC12F2">
        <w:t xml:space="preserve"> </w:t>
      </w:r>
      <w:r>
        <w:t>270.127</w:t>
      </w:r>
      <w:r w:rsidR="00776DE9">
        <w:t xml:space="preserve"> Ft</w:t>
      </w:r>
    </w:p>
    <w:p w14:paraId="409C32C3" w14:textId="77777777" w:rsidR="00776DE9" w:rsidRDefault="00776DE9" w:rsidP="006F6E29">
      <w:pPr>
        <w:pStyle w:val="Stlusregi"/>
        <w:numPr>
          <w:ilvl w:val="1"/>
          <w:numId w:val="1"/>
        </w:numPr>
        <w:jc w:val="both"/>
      </w:pPr>
      <w:r>
        <w:t xml:space="preserve">kisebb egyéb berendezések, műszerek beszerzése </w:t>
      </w:r>
      <w:r w:rsidR="006F6E29">
        <w:t xml:space="preserve">79.942 </w:t>
      </w:r>
      <w:r w:rsidR="00C3546A">
        <w:t>Ft</w:t>
      </w:r>
    </w:p>
    <w:p w14:paraId="43543722" w14:textId="77777777" w:rsidR="00D35A53" w:rsidRDefault="00D35A53" w:rsidP="00776DE9">
      <w:pPr>
        <w:pStyle w:val="Stlusregi"/>
        <w:ind w:left="1440"/>
        <w:jc w:val="both"/>
      </w:pPr>
    </w:p>
    <w:p w14:paraId="10D3FA75" w14:textId="77777777" w:rsidR="00DF62DC" w:rsidRPr="006F6E29" w:rsidRDefault="0055720D" w:rsidP="006F6E29">
      <w:pPr>
        <w:pStyle w:val="Stlusregi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Pénzmaradvány, finanszírozás </w:t>
      </w:r>
      <w:r w:rsidR="006F6E29" w:rsidRPr="006F6E29">
        <w:rPr>
          <w:b/>
        </w:rPr>
        <w:t>alakulása</w:t>
      </w:r>
    </w:p>
    <w:p w14:paraId="2F3C0B95" w14:textId="77777777" w:rsidR="00DF62DC" w:rsidRPr="009F1CD9" w:rsidRDefault="00DF62DC" w:rsidP="006F6E29">
      <w:pPr>
        <w:pStyle w:val="Stlusregi"/>
        <w:jc w:val="both"/>
      </w:pPr>
    </w:p>
    <w:p w14:paraId="2D952BFF" w14:textId="77777777" w:rsidR="00E6194B" w:rsidRDefault="00E6194B" w:rsidP="003A67EF">
      <w:pPr>
        <w:pStyle w:val="Stlusregi"/>
        <w:ind w:left="708"/>
        <w:jc w:val="both"/>
      </w:pPr>
      <w:r>
        <w:t>2018. évben az</w:t>
      </w:r>
      <w:r w:rsidR="003A67EF">
        <w:t xml:space="preserve"> alaptevékenység maradványa</w:t>
      </w:r>
      <w:r>
        <w:t xml:space="preserve"> negatív összeg:</w:t>
      </w:r>
    </w:p>
    <w:p w14:paraId="4EC59972" w14:textId="77777777" w:rsidR="006F6E29" w:rsidRDefault="00E6194B" w:rsidP="003A67EF">
      <w:pPr>
        <w:pStyle w:val="Stlusregi"/>
        <w:ind w:left="708"/>
        <w:jc w:val="both"/>
      </w:pPr>
      <w:r>
        <w:t xml:space="preserve">542.121.614 Ft -559.913.351 Ft = </w:t>
      </w:r>
      <w:r w:rsidR="004E56C6">
        <w:t xml:space="preserve">-17.791.737 Ft. </w:t>
      </w:r>
      <w:r w:rsidR="003A67EF">
        <w:t>Részletezve:</w:t>
      </w:r>
    </w:p>
    <w:p w14:paraId="0D9C9304" w14:textId="77777777" w:rsidR="003A67EF" w:rsidRDefault="003A67EF" w:rsidP="003A67EF">
      <w:pPr>
        <w:pStyle w:val="Stlusregi"/>
        <w:ind w:left="708"/>
        <w:jc w:val="both"/>
      </w:pPr>
    </w:p>
    <w:p w14:paraId="4AC0C9CF" w14:textId="77777777" w:rsidR="003A67EF" w:rsidRDefault="003A67EF" w:rsidP="003A67EF">
      <w:pPr>
        <w:pStyle w:val="Stlusregi"/>
        <w:ind w:left="708"/>
        <w:jc w:val="both"/>
      </w:pPr>
      <w:r>
        <w:t xml:space="preserve">A bevételeknél intézményi szinten 80.804.053 Ft elmaradás jelentkezik a módosított előirányzathoz viszonyítva, ugyanakkor a kiadásoknál 63.012.316 Ft a megtakarítás. </w:t>
      </w:r>
    </w:p>
    <w:p w14:paraId="610ADD5E" w14:textId="77777777" w:rsidR="003A67EF" w:rsidRDefault="003A67EF" w:rsidP="003A67EF">
      <w:pPr>
        <w:pStyle w:val="Stlusregi"/>
        <w:ind w:left="708"/>
        <w:jc w:val="both"/>
      </w:pPr>
    </w:p>
    <w:p w14:paraId="78DB50D0" w14:textId="77777777" w:rsidR="00451EB0" w:rsidRDefault="003A67EF" w:rsidP="003A67EF">
      <w:pPr>
        <w:pStyle w:val="Stlusregi"/>
        <w:ind w:left="708"/>
        <w:jc w:val="both"/>
      </w:pPr>
      <w:r>
        <w:t xml:space="preserve">A </w:t>
      </w:r>
      <w:r w:rsidRPr="0055720D">
        <w:rPr>
          <w:b/>
        </w:rPr>
        <w:t>bevételek</w:t>
      </w:r>
      <w:r>
        <w:t xml:space="preserve"> közül a saját bevételeket túlteljesítettük (térítési díj, áfa-visszaigénylés), az átvett pénzeszközök teljesítése 100%-os. Az intézményfinanszírozás </w:t>
      </w:r>
      <w:r w:rsidR="004E42EA">
        <w:t xml:space="preserve">teljesítése azonban csak 83%-os. Ezen a </w:t>
      </w:r>
      <w:r>
        <w:t xml:space="preserve">soron mutatjuk ki a felügyeleti szerv </w:t>
      </w:r>
      <w:r w:rsidR="00451EB0">
        <w:t>által a költségvetésben biztosított támogatásokat. Ez intézményünk esetében tartalmazza:</w:t>
      </w:r>
    </w:p>
    <w:p w14:paraId="10B82A76" w14:textId="77777777" w:rsidR="00451EB0" w:rsidRDefault="00451EB0" w:rsidP="00451EB0">
      <w:pPr>
        <w:pStyle w:val="Stlusregi"/>
        <w:numPr>
          <w:ilvl w:val="0"/>
          <w:numId w:val="2"/>
        </w:numPr>
        <w:jc w:val="both"/>
      </w:pPr>
      <w:r>
        <w:lastRenderedPageBreak/>
        <w:t>a feladatokra jutó állami támogatást (normatívát)</w:t>
      </w:r>
    </w:p>
    <w:p w14:paraId="04419DC1" w14:textId="77777777" w:rsidR="003A67EF" w:rsidRDefault="00451EB0" w:rsidP="00451EB0">
      <w:pPr>
        <w:pStyle w:val="Stlusregi"/>
        <w:numPr>
          <w:ilvl w:val="0"/>
          <w:numId w:val="2"/>
        </w:numPr>
        <w:jc w:val="both"/>
      </w:pPr>
      <w:r>
        <w:t>a normatíván felüli átadott pénzeszközt,</w:t>
      </w:r>
    </w:p>
    <w:p w14:paraId="644DA105" w14:textId="77777777" w:rsidR="00451EB0" w:rsidRDefault="00451EB0" w:rsidP="00451EB0">
      <w:pPr>
        <w:pStyle w:val="Stlusregi"/>
        <w:numPr>
          <w:ilvl w:val="0"/>
          <w:numId w:val="2"/>
        </w:numPr>
        <w:jc w:val="both"/>
      </w:pPr>
      <w:r>
        <w:t>az eredeti költségvetésben nem tervezett, de a ténylegesen kifizetett bérkompenzáció, ágazati pótlék, egészségügyi kiegészítő pótlék jogcímekre kapott, járulékkal növelt állami támogatásokat,</w:t>
      </w:r>
    </w:p>
    <w:p w14:paraId="11272798" w14:textId="77777777" w:rsidR="006F6E29" w:rsidRDefault="00451EB0" w:rsidP="00DF62DC">
      <w:pPr>
        <w:pStyle w:val="Stlusregi"/>
        <w:numPr>
          <w:ilvl w:val="0"/>
          <w:numId w:val="2"/>
        </w:numPr>
        <w:jc w:val="both"/>
      </w:pPr>
      <w:r>
        <w:t>jelzőrendszeres házi segítségnyújtás, fejlesztési foglalkoztatás</w:t>
      </w:r>
      <w:r w:rsidR="005872E1">
        <w:t xml:space="preserve"> pályázat keretében kapott támogatási összegeit.</w:t>
      </w:r>
    </w:p>
    <w:p w14:paraId="26269F7A" w14:textId="77777777" w:rsidR="005872E1" w:rsidRDefault="005872E1" w:rsidP="005872E1">
      <w:pPr>
        <w:pStyle w:val="Stlusregi"/>
        <w:jc w:val="both"/>
      </w:pPr>
    </w:p>
    <w:p w14:paraId="32C0DA12" w14:textId="77777777" w:rsidR="008F42FA" w:rsidRDefault="005872E1" w:rsidP="005872E1">
      <w:pPr>
        <w:pStyle w:val="Stlusregi"/>
        <w:ind w:left="708"/>
        <w:jc w:val="both"/>
      </w:pPr>
      <w:r>
        <w:t>Az intézményfinanszírozás teljesített adatát a technikai jellegű sajátosságok is befolyásolták: a havi főszámfejtés nettó bérösszegét a Pécsi Többcélú Agglomerációs Társulás uta</w:t>
      </w:r>
      <w:r w:rsidR="0055720D">
        <w:t xml:space="preserve">lta, míg a hóközi számfejtések kifizetése az intézmény bankszámlájáról történt. </w:t>
      </w:r>
      <w:r w:rsidR="00916E0A">
        <w:t>(</w:t>
      </w:r>
      <w:r w:rsidR="00E24726">
        <w:t>Kivételt jelentett a 2017. december havi bér, itt a Magyar Államki</w:t>
      </w:r>
      <w:r w:rsidR="008F42FA">
        <w:t xml:space="preserve">ncstár teljesítette </w:t>
      </w:r>
      <w:r w:rsidR="00E3718F">
        <w:t xml:space="preserve">2018. január hóban </w:t>
      </w:r>
      <w:r w:rsidR="008F42FA">
        <w:t>az utalást.</w:t>
      </w:r>
      <w:r w:rsidR="00916E0A">
        <w:t>)</w:t>
      </w:r>
      <w:r w:rsidR="00E3718F">
        <w:t xml:space="preserve"> A sajátosságok miatt csökkent bankszámlaegy</w:t>
      </w:r>
      <w:r w:rsidR="00000B9A">
        <w:t xml:space="preserve">enlegünk is: a 2018. évi </w:t>
      </w:r>
      <w:r w:rsidR="00E3718F">
        <w:t xml:space="preserve">nyitó összeg </w:t>
      </w:r>
      <w:r w:rsidR="004317A1">
        <w:t>47.6</w:t>
      </w:r>
      <w:r w:rsidR="00000B9A">
        <w:t>54.410 Ft volt, míg a</w:t>
      </w:r>
      <w:r w:rsidR="004317A1">
        <w:t xml:space="preserve"> záróegyenleg 22.797.751 Ft.</w:t>
      </w:r>
    </w:p>
    <w:p w14:paraId="2B7ABAB5" w14:textId="77777777" w:rsidR="00E3718F" w:rsidRDefault="00E3718F" w:rsidP="005872E1">
      <w:pPr>
        <w:pStyle w:val="Stlusregi"/>
        <w:ind w:left="708"/>
        <w:jc w:val="both"/>
      </w:pPr>
    </w:p>
    <w:p w14:paraId="1E598740" w14:textId="77777777" w:rsidR="005872E1" w:rsidRDefault="0055720D" w:rsidP="005872E1">
      <w:pPr>
        <w:pStyle w:val="Stlusregi"/>
        <w:ind w:left="708"/>
        <w:jc w:val="both"/>
      </w:pPr>
      <w:r>
        <w:t>Összességében az intézményfinanszírozás teljesített összege 83.750.534 Ft-tal alacsonyabb a módosított előirányzatnál.</w:t>
      </w:r>
      <w:r w:rsidR="00E3718F">
        <w:t xml:space="preserve"> </w:t>
      </w:r>
    </w:p>
    <w:p w14:paraId="6BA65F64" w14:textId="77777777" w:rsidR="0055720D" w:rsidRDefault="0055720D" w:rsidP="005872E1">
      <w:pPr>
        <w:pStyle w:val="Stlusregi"/>
        <w:ind w:left="708"/>
        <w:jc w:val="both"/>
      </w:pPr>
    </w:p>
    <w:p w14:paraId="68A6618F" w14:textId="77777777" w:rsidR="0055720D" w:rsidRDefault="0055720D" w:rsidP="005872E1">
      <w:pPr>
        <w:pStyle w:val="Stlusregi"/>
        <w:ind w:left="708"/>
        <w:jc w:val="both"/>
      </w:pPr>
      <w:r>
        <w:t xml:space="preserve">A </w:t>
      </w:r>
      <w:r w:rsidRPr="0055720D">
        <w:rPr>
          <w:b/>
        </w:rPr>
        <w:t>kiadások</w:t>
      </w:r>
      <w:r>
        <w:t xml:space="preserve"> esetében minden területen </w:t>
      </w:r>
      <w:r w:rsidRPr="008F42FA">
        <w:rPr>
          <w:u w:val="single"/>
        </w:rPr>
        <w:t>megtakarítást</w:t>
      </w:r>
      <w:r>
        <w:t xml:space="preserve"> értünk el: a személyi juttatásoknál 18.989.458 Ft-ot, járulékoknál 1.170.000 Ft-ot, dologi kiadásoknál 37.284.986 Ft-ot, beruházási kiadásoknál 5.567.872 Ft-ot.</w:t>
      </w:r>
      <w:r w:rsidR="00916E0A">
        <w:t xml:space="preserve"> </w:t>
      </w:r>
    </w:p>
    <w:p w14:paraId="51F989E2" w14:textId="77777777" w:rsidR="008F42FA" w:rsidRDefault="008F42FA" w:rsidP="005872E1">
      <w:pPr>
        <w:pStyle w:val="Stlusregi"/>
        <w:ind w:left="708"/>
        <w:jc w:val="both"/>
      </w:pPr>
    </w:p>
    <w:p w14:paraId="6D2B8242" w14:textId="77777777" w:rsidR="008F42FA" w:rsidRDefault="008F42FA" w:rsidP="005872E1">
      <w:pPr>
        <w:pStyle w:val="Stlusregi"/>
        <w:ind w:left="708"/>
        <w:jc w:val="both"/>
      </w:pPr>
      <w:r>
        <w:t xml:space="preserve">Az alaptevékenység kötelezettséggel terhelt maradványa a főkönyvi könyvelés és az analitikus nyilvántartások alapján összesen </w:t>
      </w:r>
      <w:r w:rsidRPr="00916E0A">
        <w:rPr>
          <w:b/>
        </w:rPr>
        <w:t>35.110.396 Ft</w:t>
      </w:r>
      <w:r>
        <w:t xml:space="preserve">. Ebből </w:t>
      </w:r>
      <w:r w:rsidRPr="006620E9">
        <w:rPr>
          <w:u w:val="single"/>
        </w:rPr>
        <w:t>9.742.477 Ft</w:t>
      </w:r>
      <w:r>
        <w:t xml:space="preserve"> maradvány pályázati támogatáshoz kapcsoló</w:t>
      </w:r>
      <w:r w:rsidR="00916E0A">
        <w:t xml:space="preserve">dik (közcélú foglalkoztatás, otthoni szakápolás, fejlesztő foglalkoztatás). A </w:t>
      </w:r>
      <w:r w:rsidR="006620E9">
        <w:t xml:space="preserve">különbözet, </w:t>
      </w:r>
      <w:r w:rsidR="006620E9" w:rsidRPr="006620E9">
        <w:rPr>
          <w:u w:val="single"/>
        </w:rPr>
        <w:t>25.367.919 Ft</w:t>
      </w:r>
      <w:r w:rsidR="006620E9">
        <w:t xml:space="preserve"> szerződéses kötelezettségeinkből adódik (vásárolt élelmezés, közüzemi számlák stb.)</w:t>
      </w:r>
    </w:p>
    <w:p w14:paraId="3931120B" w14:textId="77777777" w:rsidR="00916E0A" w:rsidRDefault="00916E0A" w:rsidP="005872E1">
      <w:pPr>
        <w:pStyle w:val="Stlusregi"/>
        <w:ind w:left="708"/>
        <w:jc w:val="both"/>
      </w:pPr>
    </w:p>
    <w:p w14:paraId="2A8DF169" w14:textId="77777777" w:rsidR="00916E0A" w:rsidRDefault="00916E0A" w:rsidP="005872E1">
      <w:pPr>
        <w:pStyle w:val="Stlusregi"/>
        <w:ind w:left="708"/>
        <w:jc w:val="both"/>
      </w:pPr>
      <w:r>
        <w:t xml:space="preserve">A „negatív” maradvány, és a kötelezettséggel terhelt maradvány közötti eltérés nem az intézmény gazdálkodása miatt, hanem a technikai jellegű elszámolási sajátosságok miatt keletkezett. </w:t>
      </w:r>
      <w:r w:rsidR="00897B82">
        <w:t>(</w:t>
      </w:r>
      <w:r>
        <w:t>Az intézményfinanszírozás 100%-os teljesülése esetén a 35.110.396 Ft-os kötelezettséggel terhelt maradványon felül további 30.848.401 Ft szabad maradvánnyal számolhatnánk.</w:t>
      </w:r>
      <w:r w:rsidR="00897B82">
        <w:t>)</w:t>
      </w:r>
    </w:p>
    <w:p w14:paraId="22731294" w14:textId="77777777" w:rsidR="00916E0A" w:rsidRDefault="00916E0A" w:rsidP="005872E1">
      <w:pPr>
        <w:pStyle w:val="Stlusregi"/>
        <w:ind w:left="708"/>
        <w:jc w:val="both"/>
      </w:pPr>
    </w:p>
    <w:p w14:paraId="339C6B8B" w14:textId="77777777" w:rsidR="004317A1" w:rsidRDefault="00916E0A" w:rsidP="004317A1">
      <w:pPr>
        <w:pStyle w:val="Stlusregi"/>
        <w:ind w:left="708"/>
        <w:jc w:val="both"/>
      </w:pPr>
      <w:r>
        <w:t xml:space="preserve">Összességében a </w:t>
      </w:r>
      <w:r w:rsidRPr="004317A1">
        <w:rPr>
          <w:b/>
        </w:rPr>
        <w:t>35.110.396 Ft</w:t>
      </w:r>
      <w:r>
        <w:t>-os kötelezettséggel terhelt maradvány</w:t>
      </w:r>
      <w:r w:rsidR="006620E9">
        <w:t>, illetve a fenti sajátosságok</w:t>
      </w:r>
      <w:r>
        <w:t xml:space="preserve"> miatt az intézménynek </w:t>
      </w:r>
      <w:r w:rsidR="006620E9">
        <w:t>a finanszírozás kiegészítésére van szüksége.</w:t>
      </w:r>
      <w:r w:rsidR="004317A1">
        <w:t xml:space="preserve"> Kiegészítés összege:</w:t>
      </w:r>
      <w:r w:rsidR="00FF15F9">
        <w:t xml:space="preserve"> </w:t>
      </w:r>
      <w:r w:rsidR="004317A1">
        <w:t>52.902.133 Ft, így az egyenleg:</w:t>
      </w:r>
    </w:p>
    <w:p w14:paraId="12D67AAE" w14:textId="77777777" w:rsidR="004317A1" w:rsidRDefault="004317A1" w:rsidP="005872E1">
      <w:pPr>
        <w:pStyle w:val="Stlusregi"/>
        <w:ind w:left="708"/>
        <w:jc w:val="both"/>
      </w:pPr>
      <w:r>
        <w:t>-17.791.737 Ft +52.902.133 Ft = 35.110.396 Ft (kötelezettséggel terhelt maradvány).</w:t>
      </w:r>
    </w:p>
    <w:p w14:paraId="492D2E1E" w14:textId="77777777" w:rsidR="005872E1" w:rsidRDefault="005872E1" w:rsidP="00DF62DC">
      <w:pPr>
        <w:pStyle w:val="Stlusregi"/>
        <w:jc w:val="both"/>
      </w:pPr>
    </w:p>
    <w:p w14:paraId="654F049F" w14:textId="77777777" w:rsidR="00DF62DC" w:rsidRDefault="00EC12F2" w:rsidP="00DF62DC">
      <w:pPr>
        <w:pStyle w:val="Stlusregi"/>
        <w:jc w:val="both"/>
      </w:pPr>
      <w:r>
        <w:t>Pécs, 2019</w:t>
      </w:r>
      <w:r w:rsidR="00DF62DC">
        <w:t>. április 3.</w:t>
      </w:r>
    </w:p>
    <w:p w14:paraId="23712BCB" w14:textId="77777777" w:rsidR="00DF62DC" w:rsidRDefault="00DF62DC" w:rsidP="00DF62DC">
      <w:pPr>
        <w:pStyle w:val="Stlusregi"/>
        <w:jc w:val="both"/>
      </w:pPr>
    </w:p>
    <w:p w14:paraId="47A9D107" w14:textId="77777777" w:rsidR="00DF62DC" w:rsidRPr="00BF1421" w:rsidRDefault="00DF62DC" w:rsidP="00BF1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8"/>
        <w:gridCol w:w="4544"/>
      </w:tblGrid>
      <w:tr w:rsidR="00DF62DC" w:rsidRPr="00BF1421" w14:paraId="09E81D9D" w14:textId="77777777" w:rsidTr="00726105">
        <w:tc>
          <w:tcPr>
            <w:tcW w:w="4606" w:type="dxa"/>
          </w:tcPr>
          <w:p w14:paraId="58C4E1EB" w14:textId="77777777" w:rsidR="00DF62DC" w:rsidRPr="00BF1421" w:rsidRDefault="00DF62DC" w:rsidP="00BF1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41BCF30" w14:textId="77777777" w:rsidR="00DF62DC" w:rsidRPr="00BF1421" w:rsidRDefault="00DF62DC" w:rsidP="00BF1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421">
              <w:rPr>
                <w:rFonts w:ascii="Arial" w:hAnsi="Arial" w:cs="Arial"/>
                <w:sz w:val="24"/>
                <w:szCs w:val="24"/>
              </w:rPr>
              <w:t>Varga Mónika</w:t>
            </w:r>
          </w:p>
        </w:tc>
      </w:tr>
      <w:tr w:rsidR="00DF62DC" w:rsidRPr="00BF1421" w14:paraId="02EA5296" w14:textId="77777777" w:rsidTr="00726105">
        <w:tc>
          <w:tcPr>
            <w:tcW w:w="4606" w:type="dxa"/>
          </w:tcPr>
          <w:p w14:paraId="28C4B3DA" w14:textId="77777777" w:rsidR="00DF62DC" w:rsidRPr="00BF1421" w:rsidRDefault="00DF62DC" w:rsidP="00BF1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D34854B" w14:textId="77777777" w:rsidR="00DF62DC" w:rsidRPr="00BF1421" w:rsidRDefault="00DF62DC" w:rsidP="00BF1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421">
              <w:rPr>
                <w:rFonts w:ascii="Arial" w:hAnsi="Arial" w:cs="Arial"/>
                <w:sz w:val="24"/>
                <w:szCs w:val="24"/>
              </w:rPr>
              <w:t>igazgató</w:t>
            </w:r>
          </w:p>
        </w:tc>
      </w:tr>
    </w:tbl>
    <w:p w14:paraId="726EEAC7" w14:textId="77777777" w:rsidR="00DF62DC" w:rsidRDefault="00DF62DC" w:rsidP="00DF62DC">
      <w:pPr>
        <w:pStyle w:val="Stlusregi"/>
        <w:jc w:val="both"/>
      </w:pPr>
    </w:p>
    <w:sectPr w:rsidR="00DF62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A978" w14:textId="77777777" w:rsidR="00E81476" w:rsidRDefault="00E81476" w:rsidP="00DF62DC">
      <w:pPr>
        <w:spacing w:after="0" w:line="240" w:lineRule="auto"/>
      </w:pPr>
      <w:r>
        <w:separator/>
      </w:r>
    </w:p>
  </w:endnote>
  <w:endnote w:type="continuationSeparator" w:id="0">
    <w:p w14:paraId="75180894" w14:textId="77777777" w:rsidR="00E81476" w:rsidRDefault="00E81476" w:rsidP="00DF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277613"/>
      <w:docPartObj>
        <w:docPartGallery w:val="Page Numbers (Bottom of Page)"/>
        <w:docPartUnique/>
      </w:docPartObj>
    </w:sdtPr>
    <w:sdtEndPr/>
    <w:sdtContent>
      <w:p w14:paraId="5636D3C9" w14:textId="77777777" w:rsidR="00DF62DC" w:rsidRDefault="00DF62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F9">
          <w:rPr>
            <w:noProof/>
          </w:rPr>
          <w:t>3</w:t>
        </w:r>
        <w:r>
          <w:fldChar w:fldCharType="end"/>
        </w:r>
      </w:p>
    </w:sdtContent>
  </w:sdt>
  <w:p w14:paraId="1067B8D0" w14:textId="2DCFFEC1" w:rsidR="00DF62DC" w:rsidRPr="00DF62DC" w:rsidRDefault="00A8050F" w:rsidP="00A8050F">
    <w:pPr>
      <w:pStyle w:val="llb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15DA4">
      <w:rPr>
        <w:noProof/>
        <w:sz w:val="16"/>
        <w:szCs w:val="16"/>
      </w:rPr>
      <w:t>7-19-26m2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07EE" w14:textId="77777777" w:rsidR="00E81476" w:rsidRDefault="00E81476" w:rsidP="00DF62DC">
      <w:pPr>
        <w:spacing w:after="0" w:line="240" w:lineRule="auto"/>
      </w:pPr>
      <w:r>
        <w:separator/>
      </w:r>
    </w:p>
  </w:footnote>
  <w:footnote w:type="continuationSeparator" w:id="0">
    <w:p w14:paraId="00442485" w14:textId="77777777" w:rsidR="00E81476" w:rsidRDefault="00E81476" w:rsidP="00DF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7FBB"/>
    <w:multiLevelType w:val="hybridMultilevel"/>
    <w:tmpl w:val="01125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6CB2"/>
    <w:multiLevelType w:val="hybridMultilevel"/>
    <w:tmpl w:val="9066303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14"/>
    <w:rsid w:val="00000B9A"/>
    <w:rsid w:val="00013828"/>
    <w:rsid w:val="00072B28"/>
    <w:rsid w:val="000C488D"/>
    <w:rsid w:val="000F3C74"/>
    <w:rsid w:val="001017A1"/>
    <w:rsid w:val="001145D9"/>
    <w:rsid w:val="00115A21"/>
    <w:rsid w:val="00177914"/>
    <w:rsid w:val="001A3A43"/>
    <w:rsid w:val="001A7428"/>
    <w:rsid w:val="00254787"/>
    <w:rsid w:val="002A539E"/>
    <w:rsid w:val="002C1B31"/>
    <w:rsid w:val="00303F6B"/>
    <w:rsid w:val="003100E7"/>
    <w:rsid w:val="003172CE"/>
    <w:rsid w:val="00320256"/>
    <w:rsid w:val="0032645A"/>
    <w:rsid w:val="00333CC7"/>
    <w:rsid w:val="00347E50"/>
    <w:rsid w:val="003A67EF"/>
    <w:rsid w:val="003B11D5"/>
    <w:rsid w:val="00415DA4"/>
    <w:rsid w:val="004317A1"/>
    <w:rsid w:val="004422A9"/>
    <w:rsid w:val="00451EB0"/>
    <w:rsid w:val="004E3DEC"/>
    <w:rsid w:val="004E42EA"/>
    <w:rsid w:val="004E56C6"/>
    <w:rsid w:val="00546E9C"/>
    <w:rsid w:val="0055720D"/>
    <w:rsid w:val="005603E3"/>
    <w:rsid w:val="005872E1"/>
    <w:rsid w:val="00626D1E"/>
    <w:rsid w:val="006620E9"/>
    <w:rsid w:val="00663042"/>
    <w:rsid w:val="006B71CB"/>
    <w:rsid w:val="006F6E29"/>
    <w:rsid w:val="00752C59"/>
    <w:rsid w:val="00771F64"/>
    <w:rsid w:val="00776DE9"/>
    <w:rsid w:val="007822BB"/>
    <w:rsid w:val="007D472B"/>
    <w:rsid w:val="00881C91"/>
    <w:rsid w:val="0088421D"/>
    <w:rsid w:val="00897B82"/>
    <w:rsid w:val="008B038D"/>
    <w:rsid w:val="008B1B2C"/>
    <w:rsid w:val="008B4AC3"/>
    <w:rsid w:val="008D0066"/>
    <w:rsid w:val="008F42FA"/>
    <w:rsid w:val="009109AB"/>
    <w:rsid w:val="00916E0A"/>
    <w:rsid w:val="00952782"/>
    <w:rsid w:val="009F1CD9"/>
    <w:rsid w:val="00A010F6"/>
    <w:rsid w:val="00A23F78"/>
    <w:rsid w:val="00A8050F"/>
    <w:rsid w:val="00A92C85"/>
    <w:rsid w:val="00B41064"/>
    <w:rsid w:val="00B423CA"/>
    <w:rsid w:val="00B566AC"/>
    <w:rsid w:val="00B85698"/>
    <w:rsid w:val="00C3546A"/>
    <w:rsid w:val="00C8795E"/>
    <w:rsid w:val="00CA25C9"/>
    <w:rsid w:val="00CF7760"/>
    <w:rsid w:val="00D35A53"/>
    <w:rsid w:val="00D50E74"/>
    <w:rsid w:val="00D6247D"/>
    <w:rsid w:val="00D84309"/>
    <w:rsid w:val="00D908B3"/>
    <w:rsid w:val="00D97664"/>
    <w:rsid w:val="00DD4471"/>
    <w:rsid w:val="00DF62DC"/>
    <w:rsid w:val="00E24726"/>
    <w:rsid w:val="00E3718F"/>
    <w:rsid w:val="00E43C11"/>
    <w:rsid w:val="00E6194B"/>
    <w:rsid w:val="00E81476"/>
    <w:rsid w:val="00E97003"/>
    <w:rsid w:val="00EC12F2"/>
    <w:rsid w:val="00F42BC8"/>
    <w:rsid w:val="00F95599"/>
    <w:rsid w:val="00FE261B"/>
    <w:rsid w:val="00FE30BF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3AEC"/>
  <w15:chartTrackingRefBased/>
  <w15:docId w15:val="{90CEB1E8-F19D-49FA-8F71-DC2FA08C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F7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F776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CF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regi">
    <w:name w:val="Stílus_regi"/>
    <w:basedOn w:val="Norml"/>
    <w:link w:val="StlusregiChar"/>
    <w:qFormat/>
    <w:rsid w:val="00CF7760"/>
    <w:pPr>
      <w:spacing w:after="0" w:line="240" w:lineRule="auto"/>
    </w:pPr>
    <w:rPr>
      <w:rFonts w:ascii="Arial" w:hAnsi="Arial"/>
      <w:sz w:val="24"/>
    </w:rPr>
  </w:style>
  <w:style w:type="character" w:customStyle="1" w:styleId="StlusregiChar">
    <w:name w:val="Stílus_regi Char"/>
    <w:basedOn w:val="Bekezdsalapbettpusa"/>
    <w:link w:val="Stlusregi"/>
    <w:rsid w:val="00CF7760"/>
    <w:rPr>
      <w:rFonts w:ascii="Arial" w:hAnsi="Arial"/>
      <w:sz w:val="24"/>
    </w:rPr>
  </w:style>
  <w:style w:type="table" w:customStyle="1" w:styleId="Rcsostblzat1">
    <w:name w:val="Rácsos táblázat1"/>
    <w:basedOn w:val="Normltblzat"/>
    <w:next w:val="Rcsostblzat"/>
    <w:rsid w:val="00DF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F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62DC"/>
  </w:style>
  <w:style w:type="paragraph" w:styleId="Buborkszveg">
    <w:name w:val="Balloon Text"/>
    <w:basedOn w:val="Norml"/>
    <w:link w:val="BuborkszvegChar"/>
    <w:uiPriority w:val="99"/>
    <w:semiHidden/>
    <w:unhideWhenUsed/>
    <w:rsid w:val="00F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Pekárné GG</dc:creator>
  <cp:keywords/>
  <dc:description/>
  <cp:lastModifiedBy>Bodorné Lux Viktória</cp:lastModifiedBy>
  <cp:revision>3</cp:revision>
  <cp:lastPrinted>2019-05-14T08:04:00Z</cp:lastPrinted>
  <dcterms:created xsi:type="dcterms:W3CDTF">2019-05-09T09:23:00Z</dcterms:created>
  <dcterms:modified xsi:type="dcterms:W3CDTF">2019-05-14T08:04:00Z</dcterms:modified>
</cp:coreProperties>
</file>